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0A866" w14:textId="5C44D595" w:rsidR="004A4948" w:rsidRDefault="004A4948" w:rsidP="004A4948">
      <w:pPr>
        <w:pStyle w:val="CH"/>
      </w:pPr>
      <w:bookmarkStart w:id="0" w:name="_Hlk71278819"/>
      <w:bookmarkEnd w:id="0"/>
      <w:r w:rsidRPr="00B070F5">
        <w:t xml:space="preserve">3GPP </w:t>
      </w:r>
      <w:r>
        <w:t>TSG-</w:t>
      </w:r>
      <w:r w:rsidRPr="00B070F5">
        <w:t>RAN WG</w:t>
      </w:r>
      <w:r>
        <w:t>4</w:t>
      </w:r>
      <w:r w:rsidRPr="00B070F5">
        <w:t xml:space="preserve"> Meeting #</w:t>
      </w:r>
      <w:r>
        <w:t>106</w:t>
      </w:r>
      <w:r>
        <w:tab/>
      </w:r>
      <w:r>
        <w:tab/>
      </w:r>
      <w:r w:rsidR="00303F67" w:rsidRPr="00303F67">
        <w:t>R4-2302549</w:t>
      </w:r>
    </w:p>
    <w:p w14:paraId="0F392654" w14:textId="77777777" w:rsidR="004A4948" w:rsidRPr="002F2CF6" w:rsidRDefault="004A4948" w:rsidP="004A4948">
      <w:pPr>
        <w:pStyle w:val="CH"/>
        <w:tabs>
          <w:tab w:val="clear" w:pos="7920"/>
        </w:tabs>
        <w:rPr>
          <w:b w:val="0"/>
        </w:rPr>
      </w:pPr>
      <w:r>
        <w:t>Athens, Greece</w:t>
      </w:r>
      <w:r w:rsidRPr="001F61DB">
        <w:t xml:space="preserve">, </w:t>
      </w:r>
      <w:r>
        <w:t>February 27 – March 3, 2023</w:t>
      </w:r>
      <w:r w:rsidRPr="002F2CF6">
        <w:tab/>
      </w:r>
    </w:p>
    <w:p w14:paraId="1E800CC1" w14:textId="77777777" w:rsidR="00D34992" w:rsidRPr="002D6524" w:rsidRDefault="00D34992" w:rsidP="00D34992">
      <w:pPr>
        <w:tabs>
          <w:tab w:val="left" w:pos="1985"/>
        </w:tabs>
        <w:spacing w:before="0" w:after="0"/>
        <w:ind w:left="1975" w:hangingChars="823" w:hanging="1975"/>
        <w:jc w:val="both"/>
        <w:rPr>
          <w:rFonts w:ascii="Arial" w:hAnsi="Arial" w:cs="Arial"/>
          <w:sz w:val="24"/>
          <w:highlight w:val="yellow"/>
          <w:lang w:val="en-US"/>
        </w:rPr>
      </w:pPr>
    </w:p>
    <w:p w14:paraId="31761058" w14:textId="77777777" w:rsidR="00D34992" w:rsidRPr="00146B4F" w:rsidRDefault="00D34992" w:rsidP="00D34992">
      <w:pPr>
        <w:tabs>
          <w:tab w:val="left" w:pos="1985"/>
        </w:tabs>
        <w:spacing w:before="0"/>
        <w:ind w:left="1983" w:hangingChars="823" w:hanging="1983"/>
        <w:jc w:val="both"/>
        <w:rPr>
          <w:rFonts w:ascii="Arial" w:hAnsi="Arial" w:cs="Arial"/>
          <w:b/>
          <w:sz w:val="24"/>
        </w:rPr>
      </w:pPr>
      <w:r w:rsidRPr="006C265D">
        <w:rPr>
          <w:rFonts w:ascii="Arial" w:hAnsi="Arial" w:cs="Arial"/>
          <w:b/>
          <w:sz w:val="24"/>
        </w:rPr>
        <w:t>Agenda item:</w:t>
      </w:r>
      <w:r w:rsidRPr="006C265D">
        <w:rPr>
          <w:rFonts w:ascii="Arial" w:hAnsi="Arial" w:cs="Arial"/>
          <w:b/>
          <w:sz w:val="24"/>
        </w:rPr>
        <w:tab/>
      </w:r>
      <w:bookmarkStart w:id="1" w:name="Source"/>
      <w:bookmarkEnd w:id="1"/>
      <w:r w:rsidR="00A15748">
        <w:rPr>
          <w:rFonts w:ascii="Arial" w:hAnsi="Arial" w:cs="Arial"/>
          <w:b/>
          <w:sz w:val="24"/>
        </w:rPr>
        <w:t>5.2.8.2</w:t>
      </w:r>
    </w:p>
    <w:p w14:paraId="195DDDB5" w14:textId="77777777" w:rsidR="00D34992" w:rsidRPr="00146B4F" w:rsidRDefault="00D34992" w:rsidP="00D34992">
      <w:pPr>
        <w:tabs>
          <w:tab w:val="left" w:pos="1985"/>
        </w:tabs>
        <w:spacing w:before="0"/>
        <w:ind w:left="1985" w:hanging="1985"/>
        <w:jc w:val="both"/>
        <w:rPr>
          <w:rFonts w:ascii="Arial" w:hAnsi="Arial" w:cs="Arial"/>
          <w:sz w:val="24"/>
        </w:rPr>
      </w:pPr>
      <w:r w:rsidRPr="00146B4F">
        <w:rPr>
          <w:rFonts w:ascii="Arial" w:hAnsi="Arial" w:cs="Arial"/>
          <w:b/>
          <w:sz w:val="24"/>
        </w:rPr>
        <w:t>Source:</w:t>
      </w:r>
      <w:r w:rsidRPr="00146B4F">
        <w:rPr>
          <w:rFonts w:ascii="Arial" w:hAnsi="Arial" w:cs="Arial"/>
          <w:b/>
          <w:sz w:val="24"/>
        </w:rPr>
        <w:tab/>
        <w:t>Intel Corporation</w:t>
      </w:r>
    </w:p>
    <w:p w14:paraId="410F2525" w14:textId="77777777" w:rsidR="00D34992" w:rsidRPr="00146B4F" w:rsidRDefault="00D34992" w:rsidP="00D34992">
      <w:pPr>
        <w:tabs>
          <w:tab w:val="left" w:pos="1985"/>
        </w:tabs>
        <w:spacing w:before="0"/>
        <w:ind w:left="1983" w:hangingChars="823" w:hanging="1983"/>
        <w:jc w:val="both"/>
        <w:rPr>
          <w:rFonts w:ascii="Arial" w:hAnsi="Arial" w:cs="Arial"/>
          <w:b/>
          <w:sz w:val="24"/>
          <w:lang w:val="en-US"/>
        </w:rPr>
      </w:pPr>
      <w:r w:rsidRPr="00146B4F">
        <w:rPr>
          <w:rFonts w:ascii="Arial" w:hAnsi="Arial" w:cs="Arial"/>
          <w:b/>
          <w:sz w:val="24"/>
        </w:rPr>
        <w:t>Title:</w:t>
      </w:r>
      <w:r w:rsidRPr="00146B4F">
        <w:rPr>
          <w:rFonts w:ascii="Arial" w:hAnsi="Arial" w:cs="Arial"/>
          <w:b/>
          <w:sz w:val="24"/>
        </w:rPr>
        <w:tab/>
      </w:r>
      <w:r w:rsidR="004A4948">
        <w:rPr>
          <w:rFonts w:ascii="Arial" w:hAnsi="Arial" w:cs="Arial"/>
          <w:b/>
          <w:sz w:val="24"/>
        </w:rPr>
        <w:t xml:space="preserve">Views on </w:t>
      </w:r>
      <w:r w:rsidR="00340A14">
        <w:rPr>
          <w:rFonts w:ascii="Arial" w:hAnsi="Arial" w:cs="Arial"/>
          <w:b/>
          <w:sz w:val="24"/>
        </w:rPr>
        <w:t xml:space="preserve">the </w:t>
      </w:r>
      <w:r w:rsidR="004A4948">
        <w:rPr>
          <w:rFonts w:ascii="Arial" w:hAnsi="Arial" w:cs="Arial"/>
          <w:b/>
          <w:sz w:val="24"/>
        </w:rPr>
        <w:t>m</w:t>
      </w:r>
      <w:r w:rsidR="004A4948" w:rsidRPr="004A4948">
        <w:rPr>
          <w:rFonts w:ascii="Arial" w:hAnsi="Arial" w:cs="Arial"/>
          <w:b/>
          <w:sz w:val="24"/>
        </w:rPr>
        <w:t xml:space="preserve">aximum aggregated channel bandwidth </w:t>
      </w:r>
      <w:r w:rsidR="00340A14">
        <w:rPr>
          <w:rFonts w:ascii="Arial" w:hAnsi="Arial" w:cs="Arial"/>
          <w:b/>
          <w:sz w:val="24"/>
        </w:rPr>
        <w:t xml:space="preserve">capability signalling </w:t>
      </w:r>
      <w:r w:rsidR="004A4948" w:rsidRPr="004A4948">
        <w:rPr>
          <w:rFonts w:ascii="Arial" w:hAnsi="Arial" w:cs="Arial"/>
          <w:b/>
          <w:sz w:val="24"/>
        </w:rPr>
        <w:t>for FR1 CA</w:t>
      </w:r>
      <w:r w:rsidR="00A15748">
        <w:rPr>
          <w:rFonts w:ascii="Arial" w:hAnsi="Arial" w:cs="Arial"/>
          <w:b/>
          <w:sz w:val="24"/>
        </w:rPr>
        <w:t xml:space="preserve"> for BCS5</w:t>
      </w:r>
    </w:p>
    <w:p w14:paraId="7D10E5B6" w14:textId="77777777" w:rsidR="00D34992" w:rsidRPr="00146B4F" w:rsidRDefault="00D34992" w:rsidP="00D34992">
      <w:pPr>
        <w:tabs>
          <w:tab w:val="left" w:pos="1985"/>
        </w:tabs>
        <w:spacing w:before="0"/>
        <w:ind w:left="1983" w:hangingChars="823" w:hanging="1983"/>
        <w:jc w:val="both"/>
        <w:rPr>
          <w:rFonts w:ascii="Arial" w:hAnsi="Arial" w:cs="Arial"/>
          <w:b/>
          <w:sz w:val="24"/>
        </w:rPr>
      </w:pPr>
      <w:r w:rsidRPr="00146B4F">
        <w:rPr>
          <w:rFonts w:ascii="Arial" w:hAnsi="Arial" w:cs="Arial"/>
          <w:b/>
          <w:sz w:val="24"/>
        </w:rPr>
        <w:t>Document for:</w:t>
      </w:r>
      <w:r w:rsidRPr="00146B4F">
        <w:rPr>
          <w:rFonts w:ascii="Arial" w:hAnsi="Arial" w:cs="Arial"/>
          <w:b/>
          <w:sz w:val="24"/>
        </w:rPr>
        <w:tab/>
      </w:r>
      <w:bookmarkStart w:id="2" w:name="DocumentFor"/>
      <w:bookmarkEnd w:id="2"/>
      <w:r w:rsidRPr="00146B4F">
        <w:rPr>
          <w:rFonts w:ascii="Arial" w:hAnsi="Arial" w:cs="Arial"/>
          <w:b/>
          <w:sz w:val="24"/>
        </w:rPr>
        <w:t>Discussion</w:t>
      </w:r>
    </w:p>
    <w:p w14:paraId="0C497F31" w14:textId="77777777" w:rsidR="00D34992" w:rsidRPr="00F14612" w:rsidRDefault="00D34992" w:rsidP="00D34992">
      <w:pPr>
        <w:pStyle w:val="Heading1"/>
      </w:pPr>
      <w:r w:rsidRPr="00F14612">
        <w:t>Introduction</w:t>
      </w:r>
    </w:p>
    <w:p w14:paraId="7AA128E1" w14:textId="77777777" w:rsidR="004A58EB" w:rsidRDefault="00A15748" w:rsidP="00523B85">
      <w:pPr>
        <w:tabs>
          <w:tab w:val="left" w:pos="784"/>
        </w:tabs>
        <w:spacing w:before="0"/>
        <w:jc w:val="both"/>
      </w:pPr>
      <w:proofErr w:type="gramStart"/>
      <w:r>
        <w:t>A number of</w:t>
      </w:r>
      <w:proofErr w:type="gramEnd"/>
      <w:r>
        <w:t xml:space="preserve"> enhancements </w:t>
      </w:r>
      <w:r w:rsidR="00523B85">
        <w:t xml:space="preserve">for </w:t>
      </w:r>
      <w:r w:rsidR="00523B85" w:rsidRPr="00523B85">
        <w:t xml:space="preserve">UE capabilities </w:t>
      </w:r>
      <w:r w:rsidR="00523B85">
        <w:t>signalling for FR1 intra-band and inter-band CA were discussed for several meetings [1,2]</w:t>
      </w:r>
      <w:r>
        <w:t xml:space="preserve"> in the context of BCS4/5.</w:t>
      </w:r>
      <w:r w:rsidR="00523B85">
        <w:t xml:space="preserve"> </w:t>
      </w:r>
      <w:r w:rsidR="00E22471" w:rsidRPr="00F14612">
        <w:t>In RAN4 #</w:t>
      </w:r>
      <w:r w:rsidR="004A4948">
        <w:t>105</w:t>
      </w:r>
      <w:r w:rsidR="00E22471" w:rsidRPr="00F14612">
        <w:t xml:space="preserve"> </w:t>
      </w:r>
      <w:r w:rsidR="00F14612" w:rsidRPr="00F14612">
        <w:t xml:space="preserve">a </w:t>
      </w:r>
      <w:r w:rsidR="004A4948">
        <w:t>WF</w:t>
      </w:r>
      <w:r w:rsidR="00F14612" w:rsidRPr="00F14612">
        <w:t xml:space="preserve"> </w:t>
      </w:r>
      <w:r w:rsidR="004A4948" w:rsidRPr="004A4948">
        <w:t>on new IEs for maximum aggregated BW for intra-band CA and for inter-band CA for FR1</w:t>
      </w:r>
      <w:r w:rsidR="006F0D87">
        <w:rPr>
          <w:rFonts w:eastAsia="Batang"/>
          <w:lang w:val="en-US"/>
        </w:rPr>
        <w:t xml:space="preserve"> </w:t>
      </w:r>
      <w:r w:rsidR="00E22471" w:rsidRPr="00F14612">
        <w:rPr>
          <w:rFonts w:eastAsia="Batang"/>
          <w:lang w:val="en-US"/>
        </w:rPr>
        <w:t>was approved [</w:t>
      </w:r>
      <w:r w:rsidR="00523B85">
        <w:rPr>
          <w:rFonts w:eastAsia="Batang"/>
          <w:lang w:val="en-US"/>
        </w:rPr>
        <w:t>3</w:t>
      </w:r>
      <w:r w:rsidR="00E22471" w:rsidRPr="00F14612">
        <w:rPr>
          <w:rFonts w:eastAsia="Batang"/>
          <w:lang w:val="en-US"/>
        </w:rPr>
        <w:t>]</w:t>
      </w:r>
      <w:r w:rsidR="00523B85">
        <w:rPr>
          <w:rFonts w:eastAsia="Batang"/>
          <w:lang w:val="en-US"/>
        </w:rPr>
        <w:t xml:space="preserve">. </w:t>
      </w:r>
      <w:r w:rsidR="00523B85">
        <w:t>In this paper we share views on the proposed framework and recommend the next steps.</w:t>
      </w:r>
    </w:p>
    <w:p w14:paraId="13AA34C8" w14:textId="77777777" w:rsidR="00D34992" w:rsidRPr="00F14612" w:rsidRDefault="00D34992" w:rsidP="00D34992">
      <w:pPr>
        <w:pStyle w:val="Heading1"/>
      </w:pPr>
      <w:r w:rsidRPr="00F14612">
        <w:t>Discussion</w:t>
      </w:r>
    </w:p>
    <w:p w14:paraId="03B785A5" w14:textId="77777777" w:rsidR="00523B85" w:rsidRDefault="00523B85" w:rsidP="00523B85">
      <w:pPr>
        <w:tabs>
          <w:tab w:val="left" w:pos="784"/>
        </w:tabs>
        <w:spacing w:before="0"/>
        <w:jc w:val="both"/>
      </w:pPr>
      <w:r>
        <w:t xml:space="preserve">Potential improvements for FR1 UE </w:t>
      </w:r>
      <w:r w:rsidRPr="00523B85">
        <w:t xml:space="preserve">capabilities </w:t>
      </w:r>
      <w:r>
        <w:t xml:space="preserve">signalling for intra-band and inter-band CA </w:t>
      </w:r>
      <w:r w:rsidR="00A15748">
        <w:t xml:space="preserve">for BCS5 </w:t>
      </w:r>
      <w:r>
        <w:t xml:space="preserve">were discussed over several meetings with limited progress reached. The motivation to improve signalling is summarized in [1-2]. </w:t>
      </w:r>
    </w:p>
    <w:p w14:paraId="328ECC21" w14:textId="40E549E2" w:rsidR="00523B85" w:rsidRPr="00F14612" w:rsidRDefault="00523B85" w:rsidP="00523B85">
      <w:pPr>
        <w:tabs>
          <w:tab w:val="left" w:pos="784"/>
        </w:tabs>
        <w:spacing w:before="0"/>
        <w:jc w:val="both"/>
        <w:rPr>
          <w:rFonts w:eastAsia="Batang"/>
          <w:lang w:val="en-US"/>
        </w:rPr>
      </w:pPr>
      <w:r w:rsidRPr="00F14612">
        <w:t>In RAN4 #</w:t>
      </w:r>
      <w:r>
        <w:t>105</w:t>
      </w:r>
      <w:r w:rsidRPr="00F14612">
        <w:t xml:space="preserve"> </w:t>
      </w:r>
      <w:r>
        <w:t xml:space="preserve">based on the discussion </w:t>
      </w:r>
      <w:r w:rsidR="004B5643">
        <w:t>a</w:t>
      </w:r>
      <w:r>
        <w:t xml:space="preserve"> </w:t>
      </w:r>
      <w:r w:rsidR="004B5643">
        <w:t>“</w:t>
      </w:r>
      <w:r>
        <w:t>WF</w:t>
      </w:r>
      <w:r w:rsidRPr="00F14612">
        <w:t xml:space="preserve"> </w:t>
      </w:r>
      <w:r w:rsidRPr="004A4948">
        <w:t>on new IEs for maximum aggregated BW for intra-band CA and for inter-band CA for FR1</w:t>
      </w:r>
      <w:r w:rsidR="004B5643">
        <w:t>”</w:t>
      </w:r>
      <w:r>
        <w:rPr>
          <w:rFonts w:eastAsia="Batang"/>
          <w:lang w:val="en-US"/>
        </w:rPr>
        <w:t xml:space="preserve"> </w:t>
      </w:r>
      <w:r w:rsidRPr="00F14612">
        <w:rPr>
          <w:rFonts w:eastAsia="Batang"/>
          <w:lang w:val="en-US"/>
        </w:rPr>
        <w:t>was approved [</w:t>
      </w:r>
      <w:r>
        <w:rPr>
          <w:rFonts w:eastAsia="Batang"/>
          <w:lang w:val="en-US"/>
        </w:rPr>
        <w:t>3</w:t>
      </w:r>
      <w:r w:rsidRPr="00F14612">
        <w:rPr>
          <w:rFonts w:eastAsia="Batang"/>
          <w:lang w:val="en-US"/>
        </w:rPr>
        <w:t>]</w:t>
      </w:r>
      <w:r w:rsidR="004B5643">
        <w:rPr>
          <w:rFonts w:eastAsia="Batang"/>
          <w:lang w:val="en-US"/>
        </w:rPr>
        <w:t xml:space="preserve">. According to the way forward </w:t>
      </w:r>
      <w:r w:rsidR="004B5643" w:rsidRPr="004B5643">
        <w:rPr>
          <w:rFonts w:eastAsia="Batang"/>
          <w:lang w:val="en-US"/>
        </w:rPr>
        <w:t xml:space="preserve">RAN4 decided to continue </w:t>
      </w:r>
      <w:r w:rsidR="004B5643">
        <w:rPr>
          <w:rFonts w:eastAsia="Batang"/>
          <w:lang w:val="en-US"/>
        </w:rPr>
        <w:t>study for the</w:t>
      </w:r>
      <w:r w:rsidR="004B5643" w:rsidRPr="004B5643">
        <w:rPr>
          <w:rFonts w:eastAsia="Batang"/>
          <w:lang w:val="en-US"/>
        </w:rPr>
        <w:t xml:space="preserve"> inter-band CA case, while no explicit agreements on intra-band CA case were made</w:t>
      </w:r>
      <w:r w:rsidRPr="00F14612">
        <w:rPr>
          <w:rFonts w:eastAsia="Batang"/>
          <w:lang w:val="en-US"/>
        </w:rPr>
        <w:t>:</w:t>
      </w:r>
    </w:p>
    <w:tbl>
      <w:tblPr>
        <w:tblW w:w="878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523B85" w:rsidRPr="00CE460D" w14:paraId="2B3E0CFC" w14:textId="77777777" w:rsidTr="002966A5">
        <w:tc>
          <w:tcPr>
            <w:tcW w:w="8788" w:type="dxa"/>
            <w:shd w:val="clear" w:color="auto" w:fill="auto"/>
          </w:tcPr>
          <w:p w14:paraId="2B39E8E1" w14:textId="77777777" w:rsidR="00523B85" w:rsidRPr="004A4948" w:rsidRDefault="00523B85" w:rsidP="002966A5">
            <w:pPr>
              <w:pStyle w:val="Header"/>
              <w:tabs>
                <w:tab w:val="left" w:pos="727"/>
              </w:tabs>
              <w:spacing w:before="240" w:after="120"/>
              <w:jc w:val="both"/>
              <w:rPr>
                <w:rFonts w:cs="Arial"/>
                <w:bCs/>
                <w:color w:val="000000"/>
                <w:sz w:val="16"/>
                <w:szCs w:val="22"/>
              </w:rPr>
            </w:pPr>
            <w:r w:rsidRPr="004A4948">
              <w:rPr>
                <w:rFonts w:cs="Arial"/>
                <w:bCs/>
                <w:color w:val="000000"/>
                <w:sz w:val="16"/>
                <w:szCs w:val="22"/>
              </w:rPr>
              <w:t>1. Introduction</w:t>
            </w:r>
          </w:p>
          <w:p w14:paraId="67A7BFE0" w14:textId="77777777" w:rsidR="00523B85" w:rsidRPr="004A4948" w:rsidRDefault="00523B85" w:rsidP="002966A5">
            <w:pPr>
              <w:pStyle w:val="Header"/>
              <w:tabs>
                <w:tab w:val="left" w:pos="727"/>
              </w:tabs>
              <w:spacing w:after="120"/>
              <w:jc w:val="both"/>
              <w:rPr>
                <w:rFonts w:cs="Arial"/>
                <w:b w:val="0"/>
                <w:color w:val="000000"/>
                <w:sz w:val="16"/>
                <w:szCs w:val="22"/>
              </w:rPr>
            </w:pPr>
            <w:r w:rsidRPr="004A4948">
              <w:rPr>
                <w:rFonts w:cs="Arial"/>
                <w:b w:val="0"/>
                <w:color w:val="000000"/>
                <w:sz w:val="16"/>
                <w:szCs w:val="22"/>
              </w:rPr>
              <w:t>RAN4 discussed the issue that UE might not be able to support all the possible CBW in some band combinations due to the RF and/or baseband limitation. To solve this issue, the following two options were considered:</w:t>
            </w:r>
          </w:p>
          <w:p w14:paraId="2978E0CC" w14:textId="77777777" w:rsidR="00523B85" w:rsidRPr="004A4948" w:rsidRDefault="00523B85" w:rsidP="002966A5">
            <w:pPr>
              <w:pStyle w:val="Header"/>
              <w:numPr>
                <w:ilvl w:val="0"/>
                <w:numId w:val="36"/>
              </w:numPr>
              <w:tabs>
                <w:tab w:val="left" w:pos="727"/>
              </w:tabs>
              <w:spacing w:after="120"/>
              <w:ind w:left="727" w:hanging="367"/>
              <w:jc w:val="both"/>
              <w:rPr>
                <w:rFonts w:cs="Arial"/>
                <w:b w:val="0"/>
                <w:color w:val="000000"/>
                <w:sz w:val="16"/>
                <w:szCs w:val="22"/>
              </w:rPr>
            </w:pPr>
            <w:r w:rsidRPr="004A4948">
              <w:rPr>
                <w:rFonts w:cs="Arial"/>
                <w:b w:val="0"/>
                <w:color w:val="000000"/>
                <w:sz w:val="16"/>
                <w:szCs w:val="22"/>
              </w:rPr>
              <w:t>Option 1: Indicate multiple feature sets by UE to cover all possible CBW aggregation below the supported maximum limit of CBW.</w:t>
            </w:r>
          </w:p>
          <w:p w14:paraId="1D54C595" w14:textId="77777777" w:rsidR="00523B85" w:rsidRPr="004A4948" w:rsidRDefault="00523B85" w:rsidP="002966A5">
            <w:pPr>
              <w:pStyle w:val="Header"/>
              <w:numPr>
                <w:ilvl w:val="0"/>
                <w:numId w:val="36"/>
              </w:numPr>
              <w:tabs>
                <w:tab w:val="left" w:pos="727"/>
              </w:tabs>
              <w:spacing w:after="120"/>
              <w:ind w:left="727" w:hanging="367"/>
              <w:jc w:val="both"/>
              <w:rPr>
                <w:rFonts w:cs="Arial"/>
                <w:b w:val="0"/>
                <w:color w:val="000000"/>
                <w:sz w:val="16"/>
                <w:szCs w:val="22"/>
              </w:rPr>
            </w:pPr>
            <w:r w:rsidRPr="004A4948">
              <w:rPr>
                <w:rFonts w:cs="Arial"/>
                <w:b w:val="0"/>
                <w:color w:val="000000"/>
                <w:sz w:val="16"/>
                <w:szCs w:val="22"/>
              </w:rPr>
              <w:t>Option 2: Introduce a new IE which indicates the maximum aggregated CBW that UE supports.</w:t>
            </w:r>
          </w:p>
          <w:p w14:paraId="582CA5F1" w14:textId="77777777" w:rsidR="00523B85" w:rsidRPr="004A4948" w:rsidRDefault="00523B85" w:rsidP="002966A5">
            <w:pPr>
              <w:pStyle w:val="Header"/>
              <w:tabs>
                <w:tab w:val="left" w:pos="727"/>
              </w:tabs>
              <w:spacing w:after="120"/>
              <w:ind w:left="360"/>
              <w:jc w:val="both"/>
              <w:rPr>
                <w:rFonts w:cs="Arial"/>
                <w:b w:val="0"/>
                <w:color w:val="000000"/>
                <w:sz w:val="16"/>
                <w:szCs w:val="22"/>
              </w:rPr>
            </w:pPr>
            <w:r w:rsidRPr="004A4948">
              <w:rPr>
                <w:rFonts w:cs="Arial"/>
                <w:b w:val="0"/>
                <w:color w:val="000000"/>
                <w:sz w:val="16"/>
                <w:szCs w:val="22"/>
              </w:rPr>
              <w:t xml:space="preserve">The approach of using multiple feature sets, i.e., option 1, can be used to indicate the possible supported CBW without specification change, but it might lead to a high signalling overhead. </w:t>
            </w:r>
          </w:p>
          <w:p w14:paraId="43E6ECF6" w14:textId="77777777" w:rsidR="00523B85" w:rsidRPr="004A4948" w:rsidRDefault="00523B85" w:rsidP="002966A5">
            <w:pPr>
              <w:pStyle w:val="Header"/>
              <w:tabs>
                <w:tab w:val="left" w:pos="727"/>
              </w:tabs>
              <w:spacing w:before="240" w:after="120"/>
              <w:jc w:val="both"/>
              <w:rPr>
                <w:rFonts w:cs="Arial"/>
                <w:bCs/>
                <w:color w:val="000000"/>
                <w:sz w:val="16"/>
                <w:szCs w:val="22"/>
              </w:rPr>
            </w:pPr>
            <w:r>
              <w:rPr>
                <w:rFonts w:cs="Arial"/>
                <w:bCs/>
                <w:color w:val="000000"/>
                <w:sz w:val="16"/>
                <w:szCs w:val="22"/>
              </w:rPr>
              <w:t>2</w:t>
            </w:r>
            <w:r w:rsidRPr="004A4948">
              <w:rPr>
                <w:rFonts w:cs="Arial"/>
                <w:bCs/>
                <w:color w:val="000000"/>
                <w:sz w:val="16"/>
                <w:szCs w:val="22"/>
              </w:rPr>
              <w:t xml:space="preserve">. </w:t>
            </w:r>
            <w:r>
              <w:rPr>
                <w:rFonts w:cs="Arial"/>
                <w:bCs/>
                <w:color w:val="000000"/>
                <w:sz w:val="16"/>
                <w:szCs w:val="22"/>
              </w:rPr>
              <w:t>Way forward</w:t>
            </w:r>
          </w:p>
          <w:p w14:paraId="0D1D6E1D" w14:textId="77777777" w:rsidR="00523B85" w:rsidRPr="004A4948" w:rsidRDefault="00523B85" w:rsidP="002966A5">
            <w:pPr>
              <w:pStyle w:val="Header"/>
              <w:spacing w:after="120"/>
              <w:jc w:val="both"/>
              <w:rPr>
                <w:rFonts w:cs="Arial"/>
                <w:b w:val="0"/>
                <w:color w:val="000000"/>
                <w:sz w:val="16"/>
                <w:szCs w:val="22"/>
              </w:rPr>
            </w:pPr>
            <w:r w:rsidRPr="004A4948">
              <w:rPr>
                <w:rFonts w:cs="Arial"/>
                <w:b w:val="0"/>
                <w:color w:val="000000"/>
                <w:sz w:val="16"/>
                <w:szCs w:val="22"/>
              </w:rPr>
              <w:t>RAN4 to further study whether to introduce a new IE for inter-band CA for signalling overhead reduction with the following characteristics:</w:t>
            </w:r>
          </w:p>
          <w:p w14:paraId="3D1612B8" w14:textId="77777777" w:rsidR="00523B85" w:rsidRPr="004A4948" w:rsidRDefault="00523B85" w:rsidP="002966A5">
            <w:pPr>
              <w:pStyle w:val="Header"/>
              <w:spacing w:after="120"/>
              <w:jc w:val="both"/>
              <w:rPr>
                <w:rFonts w:cs="Arial"/>
                <w:b w:val="0"/>
                <w:color w:val="000000"/>
                <w:sz w:val="16"/>
                <w:szCs w:val="22"/>
              </w:rPr>
            </w:pPr>
            <w:r w:rsidRPr="004A4948">
              <w:rPr>
                <w:rFonts w:cs="Arial"/>
                <w:b w:val="0"/>
                <w:color w:val="000000"/>
                <w:sz w:val="16"/>
                <w:szCs w:val="22"/>
              </w:rPr>
              <w:t>For inter-band CA, the new IE is considered with at least the following characteristics:</w:t>
            </w:r>
          </w:p>
          <w:p w14:paraId="12D901ED" w14:textId="77777777" w:rsidR="00523B85" w:rsidRPr="004A4948" w:rsidRDefault="00523B85" w:rsidP="002966A5">
            <w:pPr>
              <w:pStyle w:val="Header"/>
              <w:numPr>
                <w:ilvl w:val="0"/>
                <w:numId w:val="36"/>
              </w:numPr>
              <w:tabs>
                <w:tab w:val="left" w:pos="727"/>
              </w:tabs>
              <w:spacing w:after="120"/>
              <w:ind w:left="727" w:hanging="367"/>
              <w:jc w:val="both"/>
              <w:rPr>
                <w:rFonts w:cs="Arial"/>
                <w:b w:val="0"/>
                <w:color w:val="000000"/>
                <w:sz w:val="16"/>
                <w:szCs w:val="22"/>
              </w:rPr>
            </w:pPr>
            <w:r w:rsidRPr="004A4948">
              <w:rPr>
                <w:rFonts w:cs="Arial"/>
                <w:b w:val="0"/>
                <w:color w:val="000000"/>
                <w:sz w:val="16"/>
                <w:szCs w:val="22"/>
              </w:rPr>
              <w:t xml:space="preserve">The new IE is optional for a UE to signal for BCS5. When the IE is not signalled, legacy operation is assumed. </w:t>
            </w:r>
          </w:p>
          <w:p w14:paraId="2A2B95D9" w14:textId="77777777" w:rsidR="00523B85" w:rsidRPr="004A4948" w:rsidRDefault="00523B85" w:rsidP="002966A5">
            <w:pPr>
              <w:pStyle w:val="Header"/>
              <w:numPr>
                <w:ilvl w:val="0"/>
                <w:numId w:val="36"/>
              </w:numPr>
              <w:tabs>
                <w:tab w:val="left" w:pos="727"/>
              </w:tabs>
              <w:spacing w:after="120"/>
              <w:ind w:left="727" w:hanging="367"/>
              <w:jc w:val="both"/>
              <w:rPr>
                <w:rFonts w:cs="Arial"/>
                <w:b w:val="0"/>
                <w:color w:val="000000"/>
                <w:sz w:val="16"/>
                <w:szCs w:val="22"/>
              </w:rPr>
            </w:pPr>
            <w:r w:rsidRPr="004A4948">
              <w:rPr>
                <w:rFonts w:cs="Arial"/>
                <w:b w:val="0"/>
                <w:color w:val="000000"/>
                <w:sz w:val="16"/>
                <w:szCs w:val="22"/>
              </w:rPr>
              <w:t>The new IE applies to inter-band carrier aggregation. The new IE is applicable to both UL and DL.</w:t>
            </w:r>
          </w:p>
          <w:p w14:paraId="65207AE0" w14:textId="77777777" w:rsidR="00523B85" w:rsidRPr="004A4948" w:rsidRDefault="00523B85" w:rsidP="002966A5">
            <w:pPr>
              <w:pStyle w:val="Header"/>
              <w:numPr>
                <w:ilvl w:val="0"/>
                <w:numId w:val="36"/>
              </w:numPr>
              <w:tabs>
                <w:tab w:val="left" w:pos="727"/>
              </w:tabs>
              <w:spacing w:after="120"/>
              <w:ind w:left="727" w:hanging="367"/>
              <w:jc w:val="both"/>
              <w:rPr>
                <w:rFonts w:cs="Arial"/>
                <w:b w:val="0"/>
                <w:color w:val="000000"/>
                <w:sz w:val="16"/>
                <w:szCs w:val="22"/>
              </w:rPr>
            </w:pPr>
            <w:r w:rsidRPr="004A4948">
              <w:rPr>
                <w:rFonts w:cs="Arial"/>
                <w:b w:val="0"/>
                <w:color w:val="000000"/>
                <w:sz w:val="16"/>
                <w:szCs w:val="22"/>
              </w:rPr>
              <w:t>If a band combo has mix of TDD and FDD CCs, there needs to be 2 new separate IEs, one for max TDD aggregated BW and another for max FDD aggregated BW. FFS on the other duplex mode bands.</w:t>
            </w:r>
          </w:p>
          <w:p w14:paraId="46544DEB" w14:textId="15BCC265" w:rsidR="00523B85" w:rsidRPr="008C1A19" w:rsidRDefault="00523B85" w:rsidP="002966A5">
            <w:pPr>
              <w:pStyle w:val="Header"/>
              <w:numPr>
                <w:ilvl w:val="0"/>
                <w:numId w:val="36"/>
              </w:numPr>
              <w:tabs>
                <w:tab w:val="left" w:pos="727"/>
              </w:tabs>
              <w:spacing w:after="120"/>
              <w:ind w:left="727" w:hanging="367"/>
              <w:jc w:val="both"/>
              <w:rPr>
                <w:rFonts w:cs="Arial"/>
                <w:b w:val="0"/>
                <w:color w:val="000000"/>
                <w:sz w:val="16"/>
                <w:szCs w:val="22"/>
              </w:rPr>
            </w:pPr>
            <w:r w:rsidRPr="004A4948">
              <w:rPr>
                <w:rFonts w:cs="Arial"/>
                <w:b w:val="0"/>
                <w:color w:val="000000"/>
                <w:sz w:val="16"/>
                <w:szCs w:val="22"/>
              </w:rPr>
              <w:t>The IE conveys maximum aggregated bandwidth value for each band combination. FFS on whether to include other baseband capacities, e.g., the number of MIMO layer, bandwidth times MIMO layers, supported SCS, supported modulation order and so on.</w:t>
            </w:r>
          </w:p>
        </w:tc>
      </w:tr>
    </w:tbl>
    <w:p w14:paraId="0684E682" w14:textId="3750329A" w:rsidR="00092BEB" w:rsidRPr="00523B85" w:rsidRDefault="00A15748" w:rsidP="00A15748">
      <w:pPr>
        <w:jc w:val="both"/>
      </w:pPr>
      <w:r>
        <w:t>T</w:t>
      </w:r>
      <w:r w:rsidR="008B4945">
        <w:t>he WF</w:t>
      </w:r>
      <w:r>
        <w:t xml:space="preserve"> [3]</w:t>
      </w:r>
      <w:r w:rsidR="008B4945">
        <w:t xml:space="preserve"> does not imply that the new signalling</w:t>
      </w:r>
      <w:r w:rsidR="00340A14">
        <w:t xml:space="preserve"> IE</w:t>
      </w:r>
      <w:r w:rsidR="008B4945">
        <w:t xml:space="preserve"> shall be introduced</w:t>
      </w:r>
      <w:r w:rsidR="00340A14">
        <w:t>, but</w:t>
      </w:r>
      <w:r w:rsidR="008B4945">
        <w:t xml:space="preserve"> rather gives a direction for further RAN4 discussion. </w:t>
      </w:r>
      <w:r w:rsidR="00523B85" w:rsidRPr="00523B85">
        <w:t xml:space="preserve">In our view additional discussion on the justification to introduce </w:t>
      </w:r>
      <w:r w:rsidR="008E335A">
        <w:t>changes to the</w:t>
      </w:r>
      <w:r w:rsidR="008E335A" w:rsidRPr="00523B85">
        <w:t xml:space="preserve"> </w:t>
      </w:r>
      <w:r w:rsidR="00523B85" w:rsidRPr="00523B85">
        <w:t>UE capabilities signalling framework and details of proposed signalling</w:t>
      </w:r>
      <w:r w:rsidR="008B4945">
        <w:t xml:space="preserve"> are needed</w:t>
      </w:r>
      <w:r w:rsidR="00523B85" w:rsidRPr="00523B85">
        <w:t>.</w:t>
      </w:r>
    </w:p>
    <w:p w14:paraId="338BBD3A" w14:textId="77777777" w:rsidR="00523B85" w:rsidRPr="00A15748" w:rsidRDefault="00340A14" w:rsidP="00781D74">
      <w:pPr>
        <w:keepNext/>
        <w:numPr>
          <w:ilvl w:val="0"/>
          <w:numId w:val="38"/>
        </w:numPr>
        <w:spacing w:before="240"/>
        <w:rPr>
          <w:b/>
          <w:bCs/>
          <w:u w:val="single"/>
          <w:lang w:val="en-US"/>
        </w:rPr>
      </w:pPr>
      <w:r w:rsidRPr="00A15748">
        <w:rPr>
          <w:b/>
          <w:bCs/>
          <w:u w:val="single"/>
          <w:lang w:val="en-US"/>
        </w:rPr>
        <w:t>S</w:t>
      </w:r>
      <w:r w:rsidR="00781D74" w:rsidRPr="00A15748">
        <w:rPr>
          <w:b/>
          <w:bCs/>
          <w:u w:val="single"/>
          <w:lang w:val="en-US"/>
        </w:rPr>
        <w:t>ignalling overhead</w:t>
      </w:r>
      <w:r w:rsidRPr="00A15748">
        <w:rPr>
          <w:b/>
          <w:bCs/>
          <w:u w:val="single"/>
          <w:lang w:val="en-US"/>
        </w:rPr>
        <w:t xml:space="preserve"> reduction</w:t>
      </w:r>
    </w:p>
    <w:p w14:paraId="44D08B3F" w14:textId="77777777" w:rsidR="00424304" w:rsidRDefault="00781D74" w:rsidP="00E96D40">
      <w:pPr>
        <w:rPr>
          <w:lang w:val="en-US"/>
        </w:rPr>
      </w:pPr>
      <w:r w:rsidRPr="00A15748">
        <w:rPr>
          <w:lang w:val="en-US"/>
        </w:rPr>
        <w:t xml:space="preserve">The </w:t>
      </w:r>
      <w:r w:rsidR="00A15748">
        <w:rPr>
          <w:lang w:val="en-US"/>
        </w:rPr>
        <w:t>key</w:t>
      </w:r>
      <w:r w:rsidRPr="00A15748">
        <w:rPr>
          <w:lang w:val="en-US"/>
        </w:rPr>
        <w:t xml:space="preserve"> motivation to introduce</w:t>
      </w:r>
      <w:r w:rsidR="00E96D40">
        <w:rPr>
          <w:lang w:val="en-US"/>
        </w:rPr>
        <w:t xml:space="preserve"> a</w:t>
      </w:r>
      <w:r w:rsidRPr="00A15748">
        <w:rPr>
          <w:lang w:val="en-US"/>
        </w:rPr>
        <w:t xml:space="preserve"> new </w:t>
      </w:r>
      <w:r w:rsidR="00A15748">
        <w:rPr>
          <w:lang w:val="en-US"/>
        </w:rPr>
        <w:t xml:space="preserve">capability </w:t>
      </w:r>
      <w:r w:rsidRPr="00A15748">
        <w:rPr>
          <w:lang w:val="en-US"/>
        </w:rPr>
        <w:t xml:space="preserve">signalling </w:t>
      </w:r>
      <w:r w:rsidR="00E96D40">
        <w:rPr>
          <w:lang w:val="en-US"/>
        </w:rPr>
        <w:t xml:space="preserve">IE </w:t>
      </w:r>
      <w:r w:rsidRPr="00A15748">
        <w:rPr>
          <w:lang w:val="en-US"/>
        </w:rPr>
        <w:t xml:space="preserve">is to reduce </w:t>
      </w:r>
      <w:r w:rsidR="00E96D40">
        <w:rPr>
          <w:lang w:val="en-US"/>
        </w:rPr>
        <w:t xml:space="preserve">the </w:t>
      </w:r>
      <w:r w:rsidRPr="00A15748">
        <w:rPr>
          <w:lang w:val="en-US"/>
        </w:rPr>
        <w:t xml:space="preserve">signalling </w:t>
      </w:r>
      <w:r w:rsidR="00A15748">
        <w:rPr>
          <w:lang w:val="en-US"/>
        </w:rPr>
        <w:t>overhead</w:t>
      </w:r>
      <w:r w:rsidR="00E96D40">
        <w:rPr>
          <w:lang w:val="en-US"/>
        </w:rPr>
        <w:t xml:space="preserve"> for </w:t>
      </w:r>
      <w:r w:rsidR="00E96D40" w:rsidRPr="00C74A78">
        <w:rPr>
          <w:i/>
          <w:iCs/>
        </w:rPr>
        <w:t>FeatureSet</w:t>
      </w:r>
      <w:r w:rsidR="00E96D40">
        <w:rPr>
          <w:i/>
          <w:iCs/>
        </w:rPr>
        <w:t xml:space="preserve"> </w:t>
      </w:r>
      <w:r w:rsidR="00E96D40" w:rsidRPr="00E96D40">
        <w:t>capabilit</w:t>
      </w:r>
      <w:r w:rsidR="00E96D40">
        <w:t>ies</w:t>
      </w:r>
      <w:r w:rsidRPr="00A15748">
        <w:rPr>
          <w:lang w:val="en-US"/>
        </w:rPr>
        <w:t xml:space="preserve">. </w:t>
      </w:r>
      <w:r w:rsidR="00424304">
        <w:rPr>
          <w:lang w:val="en-US"/>
        </w:rPr>
        <w:t>We have some observations regarding the overhead reduction:</w:t>
      </w:r>
    </w:p>
    <w:p w14:paraId="65BF3DC1" w14:textId="77777777" w:rsidR="00424304" w:rsidRDefault="00781D74" w:rsidP="008C1A19">
      <w:pPr>
        <w:numPr>
          <w:ilvl w:val="0"/>
          <w:numId w:val="42"/>
        </w:numPr>
        <w:tabs>
          <w:tab w:val="left" w:pos="810"/>
          <w:tab w:val="left" w:pos="900"/>
        </w:tabs>
        <w:ind w:left="810" w:hanging="450"/>
        <w:jc w:val="both"/>
        <w:rPr>
          <w:lang w:val="en-US"/>
        </w:rPr>
      </w:pPr>
      <w:r w:rsidRPr="00A15748">
        <w:rPr>
          <w:lang w:val="en-US"/>
        </w:rPr>
        <w:lastRenderedPageBreak/>
        <w:t xml:space="preserve">The </w:t>
      </w:r>
      <w:r w:rsidR="00A15748">
        <w:rPr>
          <w:lang w:val="en-US"/>
        </w:rPr>
        <w:t xml:space="preserve">specific </w:t>
      </w:r>
      <w:r w:rsidRPr="00A15748">
        <w:rPr>
          <w:lang w:val="en-US"/>
        </w:rPr>
        <w:t>signalling overhead problems described in [2] occur for a limited number of scenarios, when</w:t>
      </w:r>
      <w:r w:rsidR="00A15748">
        <w:rPr>
          <w:lang w:val="en-US"/>
        </w:rPr>
        <w:t xml:space="preserve"> 1)</w:t>
      </w:r>
      <w:r w:rsidRPr="00A15748">
        <w:rPr>
          <w:lang w:val="en-US"/>
        </w:rPr>
        <w:t xml:space="preserve"> UE advertises support of </w:t>
      </w:r>
      <w:r w:rsidR="00A15748">
        <w:rPr>
          <w:lang w:val="en-US"/>
        </w:rPr>
        <w:t xml:space="preserve">CA </w:t>
      </w:r>
      <w:r w:rsidR="00E96D40">
        <w:rPr>
          <w:lang w:val="en-US"/>
        </w:rPr>
        <w:t xml:space="preserve">combinations </w:t>
      </w:r>
      <w:r w:rsidR="00A15748">
        <w:rPr>
          <w:lang w:val="en-US"/>
        </w:rPr>
        <w:t xml:space="preserve">with a high number of </w:t>
      </w:r>
      <w:r w:rsidRPr="00A15748">
        <w:rPr>
          <w:lang w:val="en-US"/>
        </w:rPr>
        <w:t xml:space="preserve">CCs and </w:t>
      </w:r>
      <w:r w:rsidR="00A15748">
        <w:rPr>
          <w:lang w:val="en-US"/>
        </w:rPr>
        <w:t xml:space="preserve">2) UE </w:t>
      </w:r>
      <w:r w:rsidRPr="00A15748">
        <w:rPr>
          <w:lang w:val="en-US"/>
        </w:rPr>
        <w:t xml:space="preserve">is not capable to support all </w:t>
      </w:r>
      <w:r w:rsidR="00A15748">
        <w:rPr>
          <w:lang w:val="en-US"/>
        </w:rPr>
        <w:t>CC</w:t>
      </w:r>
      <w:r w:rsidR="00E96D40">
        <w:rPr>
          <w:lang w:val="en-US"/>
        </w:rPr>
        <w:t>s</w:t>
      </w:r>
      <w:r w:rsidRPr="00A15748">
        <w:rPr>
          <w:lang w:val="en-US"/>
        </w:rPr>
        <w:t xml:space="preserve"> with max aggregated BW</w:t>
      </w:r>
      <w:r w:rsidR="00A15748">
        <w:rPr>
          <w:lang w:val="en-US"/>
        </w:rPr>
        <w:t xml:space="preserve"> in terms of baseband complexity</w:t>
      </w:r>
      <w:r w:rsidRPr="00A15748">
        <w:rPr>
          <w:lang w:val="en-US"/>
        </w:rPr>
        <w:t xml:space="preserve">. Therefore, it may happen for a limited number of UEs and for a limited number of scenarios. </w:t>
      </w:r>
    </w:p>
    <w:p w14:paraId="149FB85E" w14:textId="28E24719" w:rsidR="00424304" w:rsidRDefault="00424304" w:rsidP="008C1A19">
      <w:pPr>
        <w:numPr>
          <w:ilvl w:val="0"/>
          <w:numId w:val="42"/>
        </w:numPr>
        <w:tabs>
          <w:tab w:val="left" w:pos="810"/>
          <w:tab w:val="left" w:pos="900"/>
        </w:tabs>
        <w:ind w:left="810" w:hanging="450"/>
        <w:jc w:val="both"/>
        <w:rPr>
          <w:lang w:val="en-US"/>
        </w:rPr>
      </w:pPr>
      <w:r>
        <w:rPr>
          <w:lang w:val="en-US"/>
        </w:rPr>
        <w:t xml:space="preserve">The overhead reduction described in [2] comes from the reduction in the number of rows of the </w:t>
      </w:r>
      <w:r w:rsidRPr="008C1A19">
        <w:rPr>
          <w:i/>
          <w:iCs/>
          <w:lang w:val="en-US"/>
        </w:rPr>
        <w:t>FeatureSetCombination</w:t>
      </w:r>
      <w:r>
        <w:rPr>
          <w:lang w:val="en-US"/>
        </w:rPr>
        <w:t xml:space="preserve"> table (in the example given in [2] the number of rows is reduced from 14 to 1). Each row is simply a reference to a FeatureSet per band, not the full capabilities of the </w:t>
      </w:r>
      <w:r w:rsidRPr="008C1A19">
        <w:rPr>
          <w:i/>
          <w:iCs/>
          <w:lang w:val="en-US"/>
        </w:rPr>
        <w:t>FeatureSet</w:t>
      </w:r>
      <w:r>
        <w:rPr>
          <w:lang w:val="en-US"/>
        </w:rPr>
        <w:t xml:space="preserve">, and hence the signaling size reduction may not as large as expected. It may also be possible to reduce the actual number of </w:t>
      </w:r>
      <w:proofErr w:type="gramStart"/>
      <w:r w:rsidRPr="008C1A19">
        <w:rPr>
          <w:i/>
          <w:iCs/>
          <w:lang w:val="en-US"/>
        </w:rPr>
        <w:t>FeatureSet</w:t>
      </w:r>
      <w:r>
        <w:rPr>
          <w:lang w:val="en-US"/>
        </w:rPr>
        <w:t>s</w:t>
      </w:r>
      <w:proofErr w:type="gramEnd"/>
      <w:r>
        <w:rPr>
          <w:lang w:val="en-US"/>
        </w:rPr>
        <w:t xml:space="preserve"> but this will only be possible of no other band combinations needs to refer to them. RAN4 is not the appropriate group to analyze the actual signaling reduction.</w:t>
      </w:r>
    </w:p>
    <w:p w14:paraId="6BB65C9C" w14:textId="59DA7853" w:rsidR="00424304" w:rsidRDefault="00781D74" w:rsidP="008C1A19">
      <w:pPr>
        <w:numPr>
          <w:ilvl w:val="0"/>
          <w:numId w:val="42"/>
        </w:numPr>
        <w:tabs>
          <w:tab w:val="left" w:pos="810"/>
          <w:tab w:val="left" w:pos="900"/>
        </w:tabs>
        <w:ind w:left="810" w:hanging="450"/>
        <w:jc w:val="both"/>
        <w:rPr>
          <w:lang w:val="en-US"/>
        </w:rPr>
      </w:pPr>
      <w:r w:rsidRPr="00A15748">
        <w:rPr>
          <w:lang w:val="en-US"/>
        </w:rPr>
        <w:t xml:space="preserve">RAN2 </w:t>
      </w:r>
      <w:r w:rsidR="00056768">
        <w:rPr>
          <w:lang w:val="en-US"/>
        </w:rPr>
        <w:t>has</w:t>
      </w:r>
      <w:r w:rsidR="00E96D40">
        <w:rPr>
          <w:lang w:val="en-US"/>
        </w:rPr>
        <w:t xml:space="preserve"> </w:t>
      </w:r>
      <w:r w:rsidRPr="00A15748">
        <w:rPr>
          <w:lang w:val="en-US"/>
        </w:rPr>
        <w:t>already introduce</w:t>
      </w:r>
      <w:r w:rsidR="00A15748">
        <w:rPr>
          <w:lang w:val="en-US"/>
        </w:rPr>
        <w:t>d</w:t>
      </w:r>
      <w:r w:rsidRPr="00A15748">
        <w:rPr>
          <w:lang w:val="en-US"/>
        </w:rPr>
        <w:t xml:space="preserve"> </w:t>
      </w:r>
      <w:r w:rsidR="00A15748">
        <w:rPr>
          <w:lang w:val="en-US"/>
        </w:rPr>
        <w:t xml:space="preserve">some </w:t>
      </w:r>
      <w:r w:rsidRPr="00A15748">
        <w:rPr>
          <w:lang w:val="en-US"/>
        </w:rPr>
        <w:t xml:space="preserve">mechanisms to reduce capability signalling overhead and </w:t>
      </w:r>
      <w:r w:rsidR="00056768">
        <w:rPr>
          <w:lang w:val="en-US"/>
        </w:rPr>
        <w:t xml:space="preserve">the network </w:t>
      </w:r>
      <w:r w:rsidRPr="00A15748">
        <w:rPr>
          <w:lang w:val="en-US"/>
        </w:rPr>
        <w:t>may</w:t>
      </w:r>
      <w:r w:rsidR="00056768">
        <w:rPr>
          <w:lang w:val="en-US"/>
        </w:rPr>
        <w:t>, for example,</w:t>
      </w:r>
      <w:r w:rsidRPr="00A15748">
        <w:rPr>
          <w:lang w:val="en-US"/>
        </w:rPr>
        <w:t xml:space="preserve"> request the capabilit</w:t>
      </w:r>
      <w:r w:rsidR="00056768">
        <w:rPr>
          <w:lang w:val="en-US"/>
        </w:rPr>
        <w:t>ies</w:t>
      </w:r>
      <w:r w:rsidRPr="00A15748">
        <w:rPr>
          <w:lang w:val="en-US"/>
        </w:rPr>
        <w:t xml:space="preserve"> for a sub-set of possible </w:t>
      </w:r>
      <w:r w:rsidR="00A15748">
        <w:rPr>
          <w:lang w:val="en-US"/>
        </w:rPr>
        <w:t xml:space="preserve">band </w:t>
      </w:r>
      <w:r w:rsidRPr="00A15748">
        <w:rPr>
          <w:lang w:val="en-US"/>
        </w:rPr>
        <w:t xml:space="preserve">combinations. </w:t>
      </w:r>
    </w:p>
    <w:p w14:paraId="12E73629" w14:textId="15134B08" w:rsidR="00781D74" w:rsidRPr="00A15748" w:rsidRDefault="00A15748" w:rsidP="00E96D40">
      <w:pPr>
        <w:jc w:val="both"/>
        <w:rPr>
          <w:lang w:val="en-US"/>
        </w:rPr>
      </w:pPr>
      <w:r>
        <w:rPr>
          <w:lang w:val="en-US"/>
        </w:rPr>
        <w:t xml:space="preserve">We also note that </w:t>
      </w:r>
      <w:r w:rsidR="00056768">
        <w:rPr>
          <w:lang w:val="en-US"/>
        </w:rPr>
        <w:t xml:space="preserve">any </w:t>
      </w:r>
      <w:r>
        <w:rPr>
          <w:lang w:val="en-US"/>
        </w:rPr>
        <w:t xml:space="preserve">update of UE capability signalling framework would require an update from the BS perspective, which results in extra </w:t>
      </w:r>
      <w:r w:rsidR="00056768">
        <w:rPr>
          <w:lang w:val="en-US"/>
        </w:rPr>
        <w:t xml:space="preserve">implementation </w:t>
      </w:r>
      <w:r>
        <w:rPr>
          <w:lang w:val="en-US"/>
        </w:rPr>
        <w:t xml:space="preserve">efforts. </w:t>
      </w:r>
      <w:r w:rsidR="00E96D40">
        <w:rPr>
          <w:lang w:val="en-US"/>
        </w:rPr>
        <w:t xml:space="preserve">So, any change should have a good justification. </w:t>
      </w:r>
      <w:r>
        <w:rPr>
          <w:lang w:val="en-US"/>
        </w:rPr>
        <w:t xml:space="preserve">Therefore, </w:t>
      </w:r>
      <w:r w:rsidR="00E96D40">
        <w:rPr>
          <w:lang w:val="en-US"/>
        </w:rPr>
        <w:t xml:space="preserve">we recommend </w:t>
      </w:r>
      <w:r w:rsidR="008A77AC">
        <w:rPr>
          <w:lang w:val="en-US"/>
        </w:rPr>
        <w:t>requesting</w:t>
      </w:r>
      <w:r w:rsidR="00E96D40">
        <w:rPr>
          <w:lang w:val="en-US"/>
        </w:rPr>
        <w:t xml:space="preserve"> RAN2 feedback on whether the problem with signalling overhead is critical from RAN2 perspective</w:t>
      </w:r>
      <w:r w:rsidR="008A77AC">
        <w:rPr>
          <w:lang w:val="en-US"/>
        </w:rPr>
        <w:t>,</w:t>
      </w:r>
      <w:r w:rsidR="00E96D40">
        <w:rPr>
          <w:lang w:val="en-US"/>
        </w:rPr>
        <w:t xml:space="preserve"> and if there are any means to overcome the problem </w:t>
      </w:r>
      <w:r w:rsidR="008A77AC">
        <w:rPr>
          <w:lang w:val="en-US"/>
        </w:rPr>
        <w:t xml:space="preserve">via </w:t>
      </w:r>
      <w:r w:rsidR="00E96D40">
        <w:rPr>
          <w:lang w:val="en-US"/>
        </w:rPr>
        <w:t>the existing solutions.</w:t>
      </w:r>
    </w:p>
    <w:p w14:paraId="4B157F70" w14:textId="77777777" w:rsidR="00340A14" w:rsidRPr="00E96D40" w:rsidRDefault="00340A14" w:rsidP="00340A14">
      <w:pPr>
        <w:tabs>
          <w:tab w:val="left" w:pos="1260"/>
        </w:tabs>
        <w:ind w:left="1260" w:hanging="1260"/>
        <w:jc w:val="both"/>
        <w:rPr>
          <w:b/>
          <w:bCs/>
        </w:rPr>
      </w:pPr>
      <w:r w:rsidRPr="00A15748">
        <w:rPr>
          <w:b/>
          <w:bCs/>
        </w:rPr>
        <w:t>Proposal #1:</w:t>
      </w:r>
      <w:r w:rsidR="00E96D40">
        <w:rPr>
          <w:b/>
          <w:bCs/>
        </w:rPr>
        <w:tab/>
      </w:r>
      <w:r w:rsidR="00E96D40" w:rsidRPr="00E96D40">
        <w:rPr>
          <w:b/>
          <w:bCs/>
        </w:rPr>
        <w:t xml:space="preserve">Ask RAN2 feedback on </w:t>
      </w:r>
      <w:r w:rsidR="00E96D40" w:rsidRPr="00E96D40">
        <w:rPr>
          <w:b/>
          <w:bCs/>
          <w:lang w:val="en-US"/>
        </w:rPr>
        <w:t>whether UE capability signalling overhead is critical from RAN2 perspective and if there are any</w:t>
      </w:r>
      <w:r w:rsidR="00E96D40">
        <w:rPr>
          <w:b/>
          <w:bCs/>
          <w:lang w:val="en-US"/>
        </w:rPr>
        <w:t xml:space="preserve"> existing RAN2</w:t>
      </w:r>
      <w:r w:rsidR="00E96D40" w:rsidRPr="00E96D40">
        <w:rPr>
          <w:b/>
          <w:bCs/>
          <w:lang w:val="en-US"/>
        </w:rPr>
        <w:t xml:space="preserve"> </w:t>
      </w:r>
      <w:r w:rsidR="00E96D40">
        <w:rPr>
          <w:b/>
          <w:bCs/>
          <w:lang w:val="en-US"/>
        </w:rPr>
        <w:t>solutions</w:t>
      </w:r>
      <w:r w:rsidR="00E96D40" w:rsidRPr="00E96D40">
        <w:rPr>
          <w:b/>
          <w:bCs/>
          <w:lang w:val="en-US"/>
        </w:rPr>
        <w:t xml:space="preserve"> to overcome the problem.</w:t>
      </w:r>
    </w:p>
    <w:p w14:paraId="12C6BC8A" w14:textId="77777777" w:rsidR="00781D74" w:rsidRPr="00781D74" w:rsidRDefault="00781D74" w:rsidP="00781D74">
      <w:pPr>
        <w:jc w:val="both"/>
      </w:pPr>
    </w:p>
    <w:p w14:paraId="6D3BAD3B" w14:textId="77777777" w:rsidR="00523B85" w:rsidRPr="008E7D88" w:rsidRDefault="00523B85" w:rsidP="00523B85">
      <w:pPr>
        <w:numPr>
          <w:ilvl w:val="0"/>
          <w:numId w:val="38"/>
        </w:numPr>
        <w:rPr>
          <w:b/>
          <w:bCs/>
          <w:u w:val="single"/>
          <w:lang w:val="en-US"/>
        </w:rPr>
      </w:pPr>
      <w:r w:rsidRPr="008E7D88">
        <w:rPr>
          <w:b/>
          <w:bCs/>
          <w:u w:val="single"/>
          <w:lang w:val="en-US"/>
        </w:rPr>
        <w:t>Backward compatibility</w:t>
      </w:r>
    </w:p>
    <w:p w14:paraId="2571ABFE" w14:textId="416054CA" w:rsidR="008B4945" w:rsidRDefault="008B4945" w:rsidP="00E96D40">
      <w:pPr>
        <w:jc w:val="both"/>
      </w:pPr>
      <w:r>
        <w:t xml:space="preserve">In accordance </w:t>
      </w:r>
      <w:r w:rsidR="008E7D88">
        <w:t>with</w:t>
      </w:r>
      <w:r>
        <w:t xml:space="preserve"> WF [3] “</w:t>
      </w:r>
      <w:r w:rsidRPr="008B4945">
        <w:rPr>
          <w:i/>
          <w:iCs/>
        </w:rPr>
        <w:t>The new IE is optional for a UE to signal for BCS5. When the IE is not signalled, legacy operation is assumed.</w:t>
      </w:r>
      <w:r>
        <w:t>”</w:t>
      </w:r>
      <w:r w:rsidRPr="008B4945">
        <w:t xml:space="preserve"> </w:t>
      </w:r>
      <w:r w:rsidR="008E7D88">
        <w:t xml:space="preserve">The underlying assumption is that if </w:t>
      </w:r>
      <w:r w:rsidR="00056768">
        <w:t xml:space="preserve">the </w:t>
      </w:r>
      <w:r w:rsidR="008E7D88">
        <w:t xml:space="preserve">UE signals the new IE, then it may avoid signalling for multiple feature sets. </w:t>
      </w:r>
      <w:r>
        <w:t xml:space="preserve">The proposed framework implies that BSs are capable to handle </w:t>
      </w:r>
      <w:r w:rsidR="00056768">
        <w:t xml:space="preserve">the </w:t>
      </w:r>
      <w:r>
        <w:t xml:space="preserve">new IEs correctly, which </w:t>
      </w:r>
      <w:r w:rsidR="00056768">
        <w:t>cannot</w:t>
      </w:r>
      <w:r>
        <w:t xml:space="preserve"> </w:t>
      </w:r>
      <w:r w:rsidR="008E7D88">
        <w:t>be completely guaranteed</w:t>
      </w:r>
      <w:r>
        <w:t xml:space="preserve">. If BS does not recognize new IEs and UE does not provide legacy feature set capability signalling, the BS may overestimate UE capabilities and configure </w:t>
      </w:r>
      <w:r w:rsidR="00056768">
        <w:t xml:space="preserve">the </w:t>
      </w:r>
      <w:r>
        <w:t xml:space="preserve">UE to operate in CA configurations, which cannot be supported </w:t>
      </w:r>
      <w:r w:rsidR="008E7D88">
        <w:t xml:space="preserve">by </w:t>
      </w:r>
      <w:r w:rsidR="00056768">
        <w:t xml:space="preserve">the </w:t>
      </w:r>
      <w:r w:rsidR="008E7D88">
        <w:t>UE (i.e., exceed max aggregated BW constraints)</w:t>
      </w:r>
      <w:r>
        <w:t xml:space="preserve">. </w:t>
      </w:r>
      <w:r w:rsidR="00E96D40">
        <w:t>So, w</w:t>
      </w:r>
      <w:r>
        <w:t xml:space="preserve">e assume </w:t>
      </w:r>
      <w:r w:rsidR="008E7D88">
        <w:t xml:space="preserve">that to overcome this problem </w:t>
      </w:r>
      <w:r>
        <w:t>UE may still be required to provide legacy capability signalling and</w:t>
      </w:r>
      <w:r w:rsidR="008E7D88">
        <w:t xml:space="preserve">, therefore, </w:t>
      </w:r>
      <w:r>
        <w:t>no capability signalling overhead reduction will be achieved.</w:t>
      </w:r>
    </w:p>
    <w:p w14:paraId="14DFF6FC" w14:textId="77777777" w:rsidR="008E7D88" w:rsidRDefault="008E7D88" w:rsidP="008E7D88">
      <w:pPr>
        <w:rPr>
          <w:i/>
          <w:iCs/>
        </w:rPr>
      </w:pPr>
      <w:r w:rsidRPr="00781D74">
        <w:rPr>
          <w:b/>
          <w:bCs/>
          <w:i/>
          <w:iCs/>
        </w:rPr>
        <w:t>Observation:</w:t>
      </w:r>
      <w:r w:rsidRPr="00781D74">
        <w:rPr>
          <w:i/>
          <w:iCs/>
        </w:rPr>
        <w:t xml:space="preserve"> </w:t>
      </w:r>
      <w:r w:rsidR="00781D74" w:rsidRPr="00781D74">
        <w:rPr>
          <w:i/>
          <w:iCs/>
        </w:rPr>
        <w:t>The proposed signalling framework may not provide signalling overhead reduction unless all BSs can accept the new UE capability signalling IE</w:t>
      </w:r>
    </w:p>
    <w:p w14:paraId="6F12CE80" w14:textId="0ACF11D7" w:rsidR="00781D74" w:rsidRPr="00340A14" w:rsidRDefault="00781D74" w:rsidP="00781D74">
      <w:pPr>
        <w:tabs>
          <w:tab w:val="left" w:pos="1260"/>
        </w:tabs>
        <w:ind w:left="1260" w:hanging="1260"/>
        <w:jc w:val="both"/>
        <w:rPr>
          <w:b/>
          <w:bCs/>
        </w:rPr>
      </w:pPr>
      <w:r w:rsidRPr="00340A14">
        <w:rPr>
          <w:b/>
          <w:bCs/>
        </w:rPr>
        <w:t>Proposal #2:</w:t>
      </w:r>
      <w:r w:rsidRPr="00340A14">
        <w:rPr>
          <w:b/>
          <w:bCs/>
        </w:rPr>
        <w:tab/>
      </w:r>
      <w:r w:rsidR="00C76479">
        <w:rPr>
          <w:b/>
          <w:bCs/>
        </w:rPr>
        <w:t>Ask</w:t>
      </w:r>
      <w:r w:rsidR="00C76479" w:rsidRPr="00340A14">
        <w:rPr>
          <w:b/>
          <w:bCs/>
        </w:rPr>
        <w:t xml:space="preserve"> RAN2 feedback on possible backward compatibility issues </w:t>
      </w:r>
      <w:r w:rsidR="00C76479">
        <w:rPr>
          <w:b/>
          <w:bCs/>
        </w:rPr>
        <w:t xml:space="preserve">for the proposed signalling framework </w:t>
      </w:r>
      <w:r w:rsidR="00C76479" w:rsidRPr="00340A14">
        <w:rPr>
          <w:b/>
          <w:bCs/>
        </w:rPr>
        <w:t xml:space="preserve">before introducing the new the capability </w:t>
      </w:r>
      <w:proofErr w:type="gramStart"/>
      <w:r w:rsidR="00C76479" w:rsidRPr="00340A14">
        <w:rPr>
          <w:b/>
          <w:bCs/>
        </w:rPr>
        <w:t>signalling</w:t>
      </w:r>
      <w:r w:rsidR="00C76479" w:rsidRPr="00340A14" w:rsidDel="00C76479">
        <w:rPr>
          <w:b/>
          <w:bCs/>
        </w:rPr>
        <w:t xml:space="preserve"> </w:t>
      </w:r>
      <w:r w:rsidR="00340A14" w:rsidRPr="00340A14">
        <w:rPr>
          <w:b/>
          <w:bCs/>
        </w:rPr>
        <w:t>.</w:t>
      </w:r>
      <w:proofErr w:type="gramEnd"/>
      <w:r w:rsidRPr="00340A14">
        <w:rPr>
          <w:b/>
          <w:bCs/>
        </w:rPr>
        <w:t xml:space="preserve"> </w:t>
      </w:r>
    </w:p>
    <w:p w14:paraId="3F89041A" w14:textId="77777777" w:rsidR="008B4945" w:rsidRDefault="008B4945" w:rsidP="008B4945">
      <w:pPr>
        <w:ind w:left="288"/>
      </w:pPr>
    </w:p>
    <w:p w14:paraId="066F402D" w14:textId="77777777" w:rsidR="00523B85" w:rsidRDefault="00781D74" w:rsidP="00523B85">
      <w:pPr>
        <w:numPr>
          <w:ilvl w:val="0"/>
          <w:numId w:val="38"/>
        </w:numPr>
        <w:rPr>
          <w:b/>
          <w:bCs/>
          <w:u w:val="single"/>
          <w:lang w:val="en-US"/>
        </w:rPr>
      </w:pPr>
      <w:r>
        <w:rPr>
          <w:b/>
          <w:bCs/>
          <w:u w:val="single"/>
          <w:lang w:val="en-US"/>
        </w:rPr>
        <w:t>UE capability s</w:t>
      </w:r>
      <w:r w:rsidR="00523B85" w:rsidRPr="00781D74">
        <w:rPr>
          <w:b/>
          <w:bCs/>
          <w:u w:val="single"/>
          <w:lang w:val="en-US"/>
        </w:rPr>
        <w:t xml:space="preserve">ignalling </w:t>
      </w:r>
      <w:proofErr w:type="gramStart"/>
      <w:r w:rsidR="00523B85" w:rsidRPr="00781D74">
        <w:rPr>
          <w:b/>
          <w:bCs/>
          <w:u w:val="single"/>
          <w:lang w:val="en-US"/>
        </w:rPr>
        <w:t>details</w:t>
      </w:r>
      <w:proofErr w:type="gramEnd"/>
    </w:p>
    <w:p w14:paraId="74FDB2F2" w14:textId="77777777" w:rsidR="00781D74" w:rsidRPr="00620A66" w:rsidRDefault="00781D74" w:rsidP="00E96D40">
      <w:pPr>
        <w:jc w:val="both"/>
      </w:pPr>
      <w:r w:rsidRPr="00620A66">
        <w:t>I</w:t>
      </w:r>
      <w:r w:rsidR="00E96D40">
        <w:t xml:space="preserve">n case the </w:t>
      </w:r>
      <w:r w:rsidRPr="00620A66">
        <w:t xml:space="preserve">new signalling is introduced, </w:t>
      </w:r>
      <w:r w:rsidR="002B7554" w:rsidRPr="00620A66">
        <w:t xml:space="preserve">then the </w:t>
      </w:r>
      <w:r w:rsidR="00136567">
        <w:t xml:space="preserve">following </w:t>
      </w:r>
      <w:r w:rsidR="002B7554" w:rsidRPr="00620A66">
        <w:t>details of the proposed signalling framework shall be clarified</w:t>
      </w:r>
      <w:r w:rsidR="00C74A78">
        <w:t>.</w:t>
      </w:r>
    </w:p>
    <w:p w14:paraId="43C6DB62" w14:textId="77777777" w:rsidR="00136567" w:rsidRPr="00620A66" w:rsidRDefault="00C74A78" w:rsidP="00E96D40">
      <w:pPr>
        <w:numPr>
          <w:ilvl w:val="0"/>
          <w:numId w:val="42"/>
        </w:numPr>
        <w:tabs>
          <w:tab w:val="left" w:pos="810"/>
          <w:tab w:val="left" w:pos="900"/>
        </w:tabs>
        <w:ind w:left="810" w:hanging="450"/>
        <w:jc w:val="both"/>
        <w:rPr>
          <w:lang w:val="en-US"/>
        </w:rPr>
      </w:pPr>
      <w:r>
        <w:rPr>
          <w:i/>
          <w:iCs/>
          <w:u w:val="single"/>
          <w:lang w:val="en-US"/>
        </w:rPr>
        <w:t>Capability s</w:t>
      </w:r>
      <w:r w:rsidR="00136567" w:rsidRPr="00C74A78">
        <w:rPr>
          <w:i/>
          <w:iCs/>
          <w:u w:val="single"/>
          <w:lang w:val="en-US"/>
        </w:rPr>
        <w:t>ignalling granularity</w:t>
      </w:r>
      <w:r>
        <w:rPr>
          <w:i/>
          <w:iCs/>
          <w:lang w:val="en-US"/>
        </w:rPr>
        <w:t xml:space="preserve">: </w:t>
      </w:r>
      <w:r w:rsidR="00136567">
        <w:rPr>
          <w:lang w:val="en-US"/>
        </w:rPr>
        <w:t>The WF</w:t>
      </w:r>
      <w:r w:rsidR="008A77AC">
        <w:rPr>
          <w:lang w:val="en-US"/>
        </w:rPr>
        <w:t xml:space="preserve"> [3]</w:t>
      </w:r>
      <w:r w:rsidR="00136567">
        <w:rPr>
          <w:lang w:val="en-US"/>
        </w:rPr>
        <w:t xml:space="preserve"> does include information on the signalling granularity and our assumption is that </w:t>
      </w:r>
      <w:r>
        <w:rPr>
          <w:lang w:val="en-US"/>
        </w:rPr>
        <w:t xml:space="preserve">the new IE </w:t>
      </w:r>
      <w:r w:rsidR="00136567">
        <w:rPr>
          <w:lang w:val="en-US"/>
        </w:rPr>
        <w:t>shall be provided with a per-BC granularity</w:t>
      </w:r>
      <w:r w:rsidR="00136567">
        <w:t>.</w:t>
      </w:r>
    </w:p>
    <w:p w14:paraId="3EDB26FA" w14:textId="19E5B94B" w:rsidR="00620A66" w:rsidRPr="00E96D40" w:rsidRDefault="00620A66" w:rsidP="008D0B18">
      <w:pPr>
        <w:numPr>
          <w:ilvl w:val="0"/>
          <w:numId w:val="42"/>
        </w:numPr>
        <w:tabs>
          <w:tab w:val="left" w:pos="810"/>
          <w:tab w:val="left" w:pos="900"/>
        </w:tabs>
        <w:ind w:left="810" w:hanging="450"/>
        <w:jc w:val="both"/>
        <w:rPr>
          <w:lang w:val="en-US"/>
        </w:rPr>
      </w:pPr>
      <w:r w:rsidRPr="00E96D40">
        <w:rPr>
          <w:i/>
          <w:iCs/>
          <w:u w:val="single"/>
          <w:lang w:val="en-US"/>
        </w:rPr>
        <w:t>Whether to include other baseband capabilities</w:t>
      </w:r>
      <w:r w:rsidR="00C74A78" w:rsidRPr="00E96D40">
        <w:rPr>
          <w:i/>
          <w:iCs/>
          <w:u w:val="single"/>
          <w:lang w:val="en-US"/>
        </w:rPr>
        <w:t xml:space="preserve"> (</w:t>
      </w:r>
      <w:r w:rsidRPr="00E96D40">
        <w:rPr>
          <w:i/>
          <w:iCs/>
          <w:u w:val="single"/>
          <w:lang w:val="en-US"/>
        </w:rPr>
        <w:t xml:space="preserve">e.g., the number of MIMO layer, MIMO layers, </w:t>
      </w:r>
      <w:r w:rsidR="00C74A78" w:rsidRPr="00E96D40">
        <w:rPr>
          <w:i/>
          <w:iCs/>
          <w:u w:val="single"/>
          <w:lang w:val="en-US"/>
        </w:rPr>
        <w:t>etc)</w:t>
      </w:r>
      <w:r w:rsidR="00C74A78" w:rsidRPr="00E96D40">
        <w:rPr>
          <w:i/>
          <w:iCs/>
          <w:lang w:val="en-US"/>
        </w:rPr>
        <w:t xml:space="preserve">: </w:t>
      </w:r>
      <w:r w:rsidR="00C74A78" w:rsidRPr="00E96D40">
        <w:rPr>
          <w:lang w:val="en-US"/>
        </w:rPr>
        <w:t xml:space="preserve">Based on the existing </w:t>
      </w:r>
      <w:r w:rsidR="00E96D40" w:rsidRPr="00E96D40">
        <w:rPr>
          <w:lang w:val="en-US"/>
        </w:rPr>
        <w:t xml:space="preserve">capability </w:t>
      </w:r>
      <w:r w:rsidR="00C74A78" w:rsidRPr="00E96D40">
        <w:rPr>
          <w:lang w:val="en-US"/>
        </w:rPr>
        <w:t xml:space="preserve">signalling framework </w:t>
      </w:r>
      <w:r w:rsidRPr="00E96D40">
        <w:rPr>
          <w:lang w:val="en-US"/>
        </w:rPr>
        <w:t>UE provide</w:t>
      </w:r>
      <w:r w:rsidR="00E96D40" w:rsidRPr="00E96D40">
        <w:rPr>
          <w:lang w:val="en-US"/>
        </w:rPr>
        <w:t>s</w:t>
      </w:r>
      <w:r w:rsidRPr="00E96D40">
        <w:rPr>
          <w:lang w:val="en-US"/>
        </w:rPr>
        <w:t xml:space="preserve"> information on the </w:t>
      </w:r>
      <w:r w:rsidRPr="00E96D40">
        <w:rPr>
          <w:i/>
          <w:iCs/>
        </w:rPr>
        <w:t>FeatureSetDownlinkPerCC</w:t>
      </w:r>
      <w:r w:rsidR="00136567" w:rsidRPr="00C74A78">
        <w:t xml:space="preserve"> </w:t>
      </w:r>
      <w:r w:rsidR="00E96D40">
        <w:t xml:space="preserve">with a per CC granularity. For the new signalling </w:t>
      </w:r>
      <w:proofErr w:type="gramStart"/>
      <w:r w:rsidR="00E96D40">
        <w:t>framework</w:t>
      </w:r>
      <w:proofErr w:type="gramEnd"/>
      <w:r w:rsidR="00E96D40">
        <w:t xml:space="preserve"> we assume that UE would still provide the respective IEs </w:t>
      </w:r>
      <w:r w:rsidR="00136567" w:rsidRPr="00C74A78">
        <w:t>in addition to the max aggregated BW</w:t>
      </w:r>
      <w:r w:rsidR="00E96D40">
        <w:t>,</w:t>
      </w:r>
      <w:r w:rsidR="00C74A78">
        <w:t xml:space="preserve"> but with potentially </w:t>
      </w:r>
      <w:r w:rsidR="008A77AC">
        <w:t xml:space="preserve">a </w:t>
      </w:r>
      <w:r w:rsidR="00C74A78">
        <w:t xml:space="preserve">lower number of </w:t>
      </w:r>
      <w:r w:rsidR="008A77AC">
        <w:t xml:space="preserve">advertised </w:t>
      </w:r>
      <w:r w:rsidR="00E96D40">
        <w:t xml:space="preserve">feature set </w:t>
      </w:r>
      <w:r w:rsidR="00C74A78">
        <w:t>combinations</w:t>
      </w:r>
      <w:r w:rsidRPr="00C74A78">
        <w:t xml:space="preserve">. The </w:t>
      </w:r>
      <w:r w:rsidR="00C74A78">
        <w:t xml:space="preserve">respective </w:t>
      </w:r>
      <w:r w:rsidR="00E96D40" w:rsidRPr="00E96D40">
        <w:rPr>
          <w:i/>
          <w:iCs/>
        </w:rPr>
        <w:t>FeatureSetDownlinkPerCC</w:t>
      </w:r>
      <w:r w:rsidR="00E96D40" w:rsidRPr="00C74A78">
        <w:t xml:space="preserve"> </w:t>
      </w:r>
      <w:r w:rsidR="00C74A78">
        <w:t xml:space="preserve">IE </w:t>
      </w:r>
      <w:r w:rsidRPr="00C74A78">
        <w:t>already includes</w:t>
      </w:r>
      <w:r>
        <w:t xml:space="preserve"> information on</w:t>
      </w:r>
      <w:r w:rsidR="00E96D40">
        <w:t xml:space="preserve"> the</w:t>
      </w:r>
      <w:r>
        <w:t xml:space="preserve"> number of MIMO layers, modulation and SCS</w:t>
      </w:r>
      <w:r w:rsidR="00C74A78">
        <w:t xml:space="preserve">, which </w:t>
      </w:r>
      <w:r w:rsidR="008A77AC">
        <w:t xml:space="preserve">completely </w:t>
      </w:r>
      <w:r w:rsidR="00C74A78">
        <w:t>characterize UE baseband capabilities</w:t>
      </w:r>
      <w:r w:rsidR="008A77AC">
        <w:t xml:space="preserve"> and constraints</w:t>
      </w:r>
      <w:r>
        <w:t>.</w:t>
      </w:r>
      <w:r w:rsidR="00C74A78">
        <w:t xml:space="preserve"> The </w:t>
      </w:r>
      <w:r w:rsidR="00E96D40">
        <w:t>i</w:t>
      </w:r>
      <w:r w:rsidR="00C74A78">
        <w:t xml:space="preserve">nformation </w:t>
      </w:r>
      <w:r w:rsidR="00E96D40">
        <w:t xml:space="preserve">is sufficient to characterize the baseband processing complexity </w:t>
      </w:r>
      <w:r w:rsidR="00C74A78">
        <w:t xml:space="preserve">and there is no need to duplicate it. </w:t>
      </w:r>
      <w:r w:rsidR="00E96D40">
        <w:t>So, the</w:t>
      </w:r>
      <w:r w:rsidR="00C74A78">
        <w:t xml:space="preserve"> max aggregated BW signalling is sufficient</w:t>
      </w:r>
      <w:r w:rsidR="008A77AC">
        <w:t xml:space="preserve"> to address the problem</w:t>
      </w:r>
      <w:r w:rsidR="00C74A78">
        <w:t>.</w:t>
      </w:r>
    </w:p>
    <w:p w14:paraId="78731FA1" w14:textId="77777777" w:rsidR="00136567" w:rsidRPr="00620A66" w:rsidRDefault="00136567" w:rsidP="00E96D40">
      <w:pPr>
        <w:numPr>
          <w:ilvl w:val="0"/>
          <w:numId w:val="42"/>
        </w:numPr>
        <w:tabs>
          <w:tab w:val="left" w:pos="810"/>
          <w:tab w:val="left" w:pos="900"/>
        </w:tabs>
        <w:ind w:left="810" w:hanging="450"/>
        <w:jc w:val="both"/>
        <w:rPr>
          <w:lang w:val="en-US"/>
        </w:rPr>
      </w:pPr>
      <w:r w:rsidRPr="00C74A78">
        <w:rPr>
          <w:i/>
          <w:iCs/>
          <w:u w:val="single"/>
          <w:lang w:val="en-US"/>
        </w:rPr>
        <w:t>Applicability to DL/UL</w:t>
      </w:r>
      <w:r w:rsidR="00C74A78">
        <w:rPr>
          <w:i/>
          <w:iCs/>
          <w:lang w:val="en-US"/>
        </w:rPr>
        <w:t xml:space="preserve">: </w:t>
      </w:r>
      <w:r>
        <w:rPr>
          <w:lang w:val="en-US"/>
        </w:rPr>
        <w:t xml:space="preserve">Based on </w:t>
      </w:r>
      <w:r w:rsidR="008A77AC">
        <w:rPr>
          <w:lang w:val="en-US"/>
        </w:rPr>
        <w:t xml:space="preserve">the </w:t>
      </w:r>
      <w:r>
        <w:rPr>
          <w:lang w:val="en-US"/>
        </w:rPr>
        <w:t>agreed WF</w:t>
      </w:r>
      <w:r w:rsidR="008A77AC">
        <w:rPr>
          <w:lang w:val="en-US"/>
        </w:rPr>
        <w:t xml:space="preserve"> [3]</w:t>
      </w:r>
      <w:r>
        <w:rPr>
          <w:lang w:val="en-US"/>
        </w:rPr>
        <w:t xml:space="preserve"> “</w:t>
      </w:r>
      <w:r w:rsidRPr="00E96D40">
        <w:rPr>
          <w:i/>
          <w:iCs/>
          <w:lang w:val="en-US"/>
        </w:rPr>
        <w:t>new IE is applicable to both UL and DL</w:t>
      </w:r>
      <w:r>
        <w:rPr>
          <w:lang w:val="en-US"/>
        </w:rPr>
        <w:t>”, however, the baseband constraints for DL and UL are typically different and it is unclear how a single IE can be applied for both DL and UL, especially in case DL and UL have different number of carriers</w:t>
      </w:r>
      <w:r w:rsidR="00E96D40">
        <w:rPr>
          <w:lang w:val="en-US"/>
        </w:rPr>
        <w:t xml:space="preserve"> and </w:t>
      </w:r>
      <w:r w:rsidR="008A77AC">
        <w:rPr>
          <w:lang w:val="en-US"/>
        </w:rPr>
        <w:t xml:space="preserve">different </w:t>
      </w:r>
      <w:r w:rsidR="00E96D40">
        <w:rPr>
          <w:lang w:val="en-US"/>
        </w:rPr>
        <w:t>max</w:t>
      </w:r>
      <w:r w:rsidR="008A77AC">
        <w:rPr>
          <w:lang w:val="en-US"/>
        </w:rPr>
        <w:t>imum</w:t>
      </w:r>
      <w:r w:rsidR="00E96D40">
        <w:rPr>
          <w:lang w:val="en-US"/>
        </w:rPr>
        <w:t xml:space="preserve"> aggregated BW</w:t>
      </w:r>
      <w:r>
        <w:rPr>
          <w:lang w:val="en-US"/>
        </w:rPr>
        <w:t>. In our view, the mentioned problem is more applicable to DL case and the new IE can be considered for DL only.</w:t>
      </w:r>
      <w:r w:rsidR="00E96D40">
        <w:rPr>
          <w:lang w:val="en-US"/>
        </w:rPr>
        <w:t xml:space="preserve"> Alternatively, separate IEs can be used for DL and UL.</w:t>
      </w:r>
    </w:p>
    <w:p w14:paraId="73916962" w14:textId="77777777" w:rsidR="00620A66" w:rsidRPr="00620A66" w:rsidRDefault="00620A66" w:rsidP="00E96D40">
      <w:pPr>
        <w:numPr>
          <w:ilvl w:val="0"/>
          <w:numId w:val="42"/>
        </w:numPr>
        <w:tabs>
          <w:tab w:val="left" w:pos="810"/>
          <w:tab w:val="left" w:pos="900"/>
        </w:tabs>
        <w:ind w:left="810" w:hanging="450"/>
        <w:jc w:val="both"/>
        <w:rPr>
          <w:i/>
          <w:iCs/>
          <w:lang w:val="en-US"/>
        </w:rPr>
      </w:pPr>
      <w:r w:rsidRPr="00C74A78">
        <w:rPr>
          <w:i/>
          <w:iCs/>
          <w:u w:val="single"/>
          <w:lang w:val="en-US"/>
        </w:rPr>
        <w:t>FDD/TDD</w:t>
      </w:r>
      <w:r w:rsidR="00C74A78" w:rsidRPr="00C74A78">
        <w:rPr>
          <w:i/>
          <w:iCs/>
          <w:u w:val="single"/>
          <w:lang w:val="en-US"/>
        </w:rPr>
        <w:t xml:space="preserve"> capabilities differentiation</w:t>
      </w:r>
      <w:r w:rsidR="00C74A78">
        <w:rPr>
          <w:i/>
          <w:iCs/>
          <w:lang w:val="en-US"/>
        </w:rPr>
        <w:t xml:space="preserve">: </w:t>
      </w:r>
      <w:r w:rsidRPr="00620A66">
        <w:rPr>
          <w:lang w:val="en-US"/>
        </w:rPr>
        <w:t>The motivation to introduce different IEs for FDD/TDD carriers is unclear and it is preferable to consider a single IE for both FDD/TDD.</w:t>
      </w:r>
    </w:p>
    <w:p w14:paraId="2C84C538" w14:textId="08C7B0FD" w:rsidR="00340A14" w:rsidRPr="008C1A19" w:rsidRDefault="00C74A78" w:rsidP="00E96D40">
      <w:pPr>
        <w:numPr>
          <w:ilvl w:val="0"/>
          <w:numId w:val="42"/>
        </w:numPr>
        <w:tabs>
          <w:tab w:val="left" w:pos="810"/>
          <w:tab w:val="left" w:pos="900"/>
        </w:tabs>
        <w:ind w:left="810" w:hanging="450"/>
        <w:rPr>
          <w:i/>
          <w:iCs/>
          <w:lang w:val="en-US"/>
        </w:rPr>
      </w:pPr>
      <w:r w:rsidRPr="00C74A78">
        <w:rPr>
          <w:i/>
          <w:iCs/>
          <w:u w:val="single"/>
          <w:lang w:val="en-US"/>
        </w:rPr>
        <w:lastRenderedPageBreak/>
        <w:t>Applicability to different CA scenarios</w:t>
      </w:r>
      <w:r>
        <w:rPr>
          <w:i/>
          <w:iCs/>
          <w:lang w:val="en-US"/>
        </w:rPr>
        <w:t xml:space="preserve">: </w:t>
      </w:r>
      <w:r w:rsidR="00620A66">
        <w:rPr>
          <w:lang w:val="en-US"/>
        </w:rPr>
        <w:t>F</w:t>
      </w:r>
      <w:r w:rsidR="00620A66" w:rsidRPr="00620A66">
        <w:rPr>
          <w:lang w:val="en-US"/>
        </w:rPr>
        <w:t xml:space="preserve">rom </w:t>
      </w:r>
      <w:r w:rsidR="00620A66">
        <w:rPr>
          <w:lang w:val="en-US"/>
        </w:rPr>
        <w:t xml:space="preserve">the </w:t>
      </w:r>
      <w:r w:rsidR="00620A66" w:rsidRPr="00620A66">
        <w:rPr>
          <w:lang w:val="en-US"/>
        </w:rPr>
        <w:t xml:space="preserve">signalling perspective there is no strong need to limit signalling to FR1 inter-band </w:t>
      </w:r>
      <w:r>
        <w:rPr>
          <w:lang w:val="en-US"/>
        </w:rPr>
        <w:t xml:space="preserve">CA </w:t>
      </w:r>
      <w:r w:rsidR="00620A66" w:rsidRPr="00620A66">
        <w:rPr>
          <w:lang w:val="en-US"/>
        </w:rPr>
        <w:t>only and it can be defined in a generic manner</w:t>
      </w:r>
      <w:r w:rsidR="00620A66">
        <w:rPr>
          <w:lang w:val="en-US"/>
        </w:rPr>
        <w:t xml:space="preserve"> and applicable to other CA/DC scenarios</w:t>
      </w:r>
      <w:r w:rsidR="00620A66" w:rsidRPr="00620A66">
        <w:rPr>
          <w:lang w:val="en-US"/>
        </w:rPr>
        <w:t>.</w:t>
      </w:r>
    </w:p>
    <w:p w14:paraId="6FDDA237" w14:textId="1D022E57" w:rsidR="007E01AE" w:rsidRPr="00C74A78" w:rsidRDefault="007E01AE" w:rsidP="00E96D40">
      <w:pPr>
        <w:numPr>
          <w:ilvl w:val="0"/>
          <w:numId w:val="42"/>
        </w:numPr>
        <w:tabs>
          <w:tab w:val="left" w:pos="810"/>
          <w:tab w:val="left" w:pos="900"/>
        </w:tabs>
        <w:ind w:left="810" w:hanging="450"/>
        <w:jc w:val="both"/>
        <w:rPr>
          <w:i/>
          <w:iCs/>
          <w:lang w:val="en-US"/>
        </w:rPr>
      </w:pPr>
      <w:r>
        <w:rPr>
          <w:i/>
          <w:iCs/>
          <w:u w:val="single"/>
          <w:lang w:val="en-US"/>
        </w:rPr>
        <w:t xml:space="preserve">Clarification to definition of Fallback band combination: </w:t>
      </w:r>
      <w:r>
        <w:rPr>
          <w:u w:val="single"/>
          <w:lang w:val="en-US"/>
        </w:rPr>
        <w:t>If we consider an example 3 band BC with a max aggregated bandwidth of 60 MHz (</w:t>
      </w:r>
      <w:r w:rsidR="000934BF">
        <w:rPr>
          <w:u w:val="single"/>
          <w:lang w:val="en-US"/>
        </w:rPr>
        <w:t>i.e.,</w:t>
      </w:r>
      <w:r>
        <w:rPr>
          <w:u w:val="single"/>
          <w:lang w:val="en-US"/>
        </w:rPr>
        <w:t xml:space="preserve"> </w:t>
      </w:r>
      <w:proofErr w:type="gramStart"/>
      <w:r>
        <w:rPr>
          <w:u w:val="single"/>
          <w:lang w:val="en-US"/>
        </w:rPr>
        <w:t>similar to</w:t>
      </w:r>
      <w:proofErr w:type="gramEnd"/>
      <w:r>
        <w:rPr>
          <w:u w:val="single"/>
          <w:lang w:val="en-US"/>
        </w:rPr>
        <w:t xml:space="preserve"> the example used in [2]). It is not clear whether the 2 band BCs that are fallbacks from the 3 band BC could utilize the full 60 MHz max aggregated bandwidth, because a 2 band BC with aggregated bandwidth of 60 MHz is not actually be a fallback of any valid 3 band BC.</w:t>
      </w:r>
      <w:r w:rsidR="009836A1">
        <w:rPr>
          <w:u w:val="single"/>
          <w:lang w:val="en-US"/>
        </w:rPr>
        <w:t xml:space="preserve"> </w:t>
      </w:r>
      <w:r w:rsidR="00217E9A">
        <w:rPr>
          <w:u w:val="single"/>
          <w:lang w:val="en-US"/>
        </w:rPr>
        <w:t xml:space="preserve">We assume that the proponents would </w:t>
      </w:r>
      <w:r w:rsidR="00D51B68">
        <w:rPr>
          <w:u w:val="single"/>
          <w:lang w:val="en-US"/>
        </w:rPr>
        <w:t xml:space="preserve">consider that such a 2 band BC would be supported by the UE. </w:t>
      </w:r>
      <w:r>
        <w:rPr>
          <w:u w:val="single"/>
          <w:lang w:val="en-US"/>
        </w:rPr>
        <w:t>This aspect could certainly be resolved but would require careful consideration when updating 38.306.</w:t>
      </w:r>
    </w:p>
    <w:p w14:paraId="2D01F3F4" w14:textId="77777777" w:rsidR="008C1A19" w:rsidRDefault="008C1A19" w:rsidP="00E644D5">
      <w:pPr>
        <w:jc w:val="both"/>
        <w:rPr>
          <w:bCs/>
          <w:lang w:val="en-US"/>
        </w:rPr>
      </w:pPr>
    </w:p>
    <w:p w14:paraId="7C8ECF7B" w14:textId="7E7015D1" w:rsidR="00523B85" w:rsidRPr="008C1A19" w:rsidRDefault="008A77AC" w:rsidP="00E644D5">
      <w:pPr>
        <w:jc w:val="both"/>
        <w:rPr>
          <w:bCs/>
          <w:lang w:val="en-US"/>
        </w:rPr>
      </w:pPr>
      <w:r w:rsidRPr="008C1A19">
        <w:rPr>
          <w:bCs/>
          <w:lang w:val="en-US"/>
        </w:rPr>
        <w:t>In summary, we recommend the following changes to the signalling framework proposed in [3]</w:t>
      </w:r>
      <w:r>
        <w:rPr>
          <w:bCs/>
          <w:lang w:val="en-US"/>
        </w:rPr>
        <w:t>:</w:t>
      </w:r>
    </w:p>
    <w:p w14:paraId="0DBA8F3B" w14:textId="7E06518D" w:rsidR="00340A14" w:rsidRPr="008C1A19" w:rsidRDefault="005016E5" w:rsidP="007B6B4C">
      <w:pPr>
        <w:tabs>
          <w:tab w:val="left" w:pos="1260"/>
        </w:tabs>
        <w:ind w:left="1260" w:hanging="1260"/>
        <w:rPr>
          <w:b/>
          <w:bCs/>
        </w:rPr>
      </w:pPr>
      <w:r w:rsidRPr="008C1A19">
        <w:rPr>
          <w:b/>
          <w:bCs/>
        </w:rPr>
        <w:t>Proposal #</w:t>
      </w:r>
      <w:r w:rsidR="007B6B4C" w:rsidRPr="008C1A19">
        <w:rPr>
          <w:b/>
          <w:bCs/>
        </w:rPr>
        <w:t>3</w:t>
      </w:r>
      <w:r w:rsidRPr="008C1A19">
        <w:rPr>
          <w:b/>
          <w:bCs/>
        </w:rPr>
        <w:t>:</w:t>
      </w:r>
      <w:r w:rsidR="00751545" w:rsidRPr="008C1A19">
        <w:rPr>
          <w:b/>
          <w:bCs/>
        </w:rPr>
        <w:tab/>
      </w:r>
      <w:r w:rsidR="007E01AE">
        <w:rPr>
          <w:b/>
          <w:bCs/>
        </w:rPr>
        <w:t>If the new IE is agreed to be introduced then we should c</w:t>
      </w:r>
      <w:r w:rsidR="008A77AC" w:rsidRPr="008C1A19">
        <w:rPr>
          <w:b/>
          <w:bCs/>
        </w:rPr>
        <w:t>onsider the following UE capability signalling framework</w:t>
      </w:r>
      <w:r w:rsidR="00C76479">
        <w:rPr>
          <w:b/>
          <w:bCs/>
        </w:rPr>
        <w:t>:</w:t>
      </w:r>
    </w:p>
    <w:p w14:paraId="4915937D" w14:textId="77777777" w:rsidR="008A77AC" w:rsidRPr="008C1A19" w:rsidRDefault="008A77AC" w:rsidP="00BB098C">
      <w:pPr>
        <w:pStyle w:val="Header"/>
        <w:numPr>
          <w:ilvl w:val="1"/>
          <w:numId w:val="36"/>
        </w:numPr>
        <w:tabs>
          <w:tab w:val="left" w:pos="1620"/>
        </w:tabs>
        <w:spacing w:after="120"/>
        <w:ind w:left="1620"/>
        <w:jc w:val="both"/>
        <w:rPr>
          <w:rFonts w:ascii="Times New Roman" w:hAnsi="Times New Roman"/>
          <w:noProof w:val="0"/>
          <w:sz w:val="20"/>
        </w:rPr>
      </w:pPr>
      <w:r w:rsidRPr="008C1A19">
        <w:rPr>
          <w:rFonts w:ascii="Times New Roman" w:hAnsi="Times New Roman"/>
          <w:noProof w:val="0"/>
          <w:sz w:val="20"/>
        </w:rPr>
        <w:t xml:space="preserve">The new IE includes information on the maximum aggregated BW </w:t>
      </w:r>
      <w:r w:rsidR="00C76479">
        <w:rPr>
          <w:rFonts w:ascii="Times New Roman" w:hAnsi="Times New Roman"/>
          <w:noProof w:val="0"/>
          <w:sz w:val="20"/>
        </w:rPr>
        <w:t xml:space="preserve">with a </w:t>
      </w:r>
      <w:r w:rsidRPr="008C1A19">
        <w:rPr>
          <w:rFonts w:ascii="Times New Roman" w:hAnsi="Times New Roman"/>
          <w:noProof w:val="0"/>
          <w:sz w:val="20"/>
        </w:rPr>
        <w:t>per BC</w:t>
      </w:r>
      <w:r w:rsidR="00C76479">
        <w:rPr>
          <w:rFonts w:ascii="Times New Roman" w:hAnsi="Times New Roman"/>
          <w:noProof w:val="0"/>
          <w:sz w:val="20"/>
        </w:rPr>
        <w:t xml:space="preserve"> granularity</w:t>
      </w:r>
      <w:r w:rsidRPr="008C1A19">
        <w:rPr>
          <w:rFonts w:ascii="Times New Roman" w:hAnsi="Times New Roman"/>
          <w:noProof w:val="0"/>
          <w:sz w:val="20"/>
        </w:rPr>
        <w:t>.</w:t>
      </w:r>
    </w:p>
    <w:p w14:paraId="5BC80012" w14:textId="77777777" w:rsidR="008A77AC" w:rsidRPr="008C1A19" w:rsidRDefault="008A77AC" w:rsidP="00BB098C">
      <w:pPr>
        <w:pStyle w:val="Header"/>
        <w:numPr>
          <w:ilvl w:val="1"/>
          <w:numId w:val="36"/>
        </w:numPr>
        <w:tabs>
          <w:tab w:val="left" w:pos="1620"/>
        </w:tabs>
        <w:spacing w:after="120"/>
        <w:ind w:left="1620"/>
        <w:jc w:val="both"/>
        <w:rPr>
          <w:rFonts w:ascii="Times New Roman" w:hAnsi="Times New Roman"/>
          <w:noProof w:val="0"/>
          <w:sz w:val="20"/>
        </w:rPr>
      </w:pPr>
      <w:r w:rsidRPr="008C1A19">
        <w:rPr>
          <w:rFonts w:ascii="Times New Roman" w:hAnsi="Times New Roman"/>
          <w:noProof w:val="0"/>
          <w:sz w:val="20"/>
        </w:rPr>
        <w:t xml:space="preserve">The new IE is optional for a UE to signal for BCS5 with a per-BC granularity. </w:t>
      </w:r>
    </w:p>
    <w:p w14:paraId="22B78E54" w14:textId="77777777" w:rsidR="008A77AC" w:rsidRPr="008C1A19" w:rsidRDefault="008A77AC" w:rsidP="00BB098C">
      <w:pPr>
        <w:pStyle w:val="Header"/>
        <w:numPr>
          <w:ilvl w:val="1"/>
          <w:numId w:val="36"/>
        </w:numPr>
        <w:tabs>
          <w:tab w:val="left" w:pos="1620"/>
        </w:tabs>
        <w:spacing w:after="120"/>
        <w:ind w:left="1620"/>
        <w:jc w:val="both"/>
        <w:rPr>
          <w:rFonts w:ascii="Times New Roman" w:hAnsi="Times New Roman"/>
          <w:noProof w:val="0"/>
          <w:sz w:val="20"/>
        </w:rPr>
      </w:pPr>
      <w:r w:rsidRPr="008C1A19">
        <w:rPr>
          <w:rFonts w:ascii="Times New Roman" w:hAnsi="Times New Roman"/>
          <w:noProof w:val="0"/>
          <w:sz w:val="20"/>
        </w:rPr>
        <w:t xml:space="preserve">The new IE applies to different CA scenarios including intra-band and inter-band CA. </w:t>
      </w:r>
    </w:p>
    <w:p w14:paraId="76DBF38B" w14:textId="77777777" w:rsidR="008A77AC" w:rsidRPr="008C1A19" w:rsidRDefault="008A77AC" w:rsidP="00BB098C">
      <w:pPr>
        <w:pStyle w:val="Header"/>
        <w:numPr>
          <w:ilvl w:val="1"/>
          <w:numId w:val="36"/>
        </w:numPr>
        <w:tabs>
          <w:tab w:val="left" w:pos="1620"/>
        </w:tabs>
        <w:spacing w:after="120"/>
        <w:ind w:left="1620"/>
        <w:jc w:val="both"/>
        <w:rPr>
          <w:rFonts w:ascii="Times New Roman" w:hAnsi="Times New Roman"/>
          <w:noProof w:val="0"/>
          <w:sz w:val="20"/>
        </w:rPr>
      </w:pPr>
      <w:r w:rsidRPr="008C1A19">
        <w:rPr>
          <w:rFonts w:ascii="Times New Roman" w:hAnsi="Times New Roman"/>
          <w:noProof w:val="0"/>
          <w:sz w:val="20"/>
        </w:rPr>
        <w:t xml:space="preserve">The new IE is applicable to DL </w:t>
      </w:r>
      <w:r w:rsidR="00C76479" w:rsidRPr="00C76479">
        <w:rPr>
          <w:rFonts w:ascii="Times New Roman" w:hAnsi="Times New Roman"/>
          <w:noProof w:val="0"/>
          <w:sz w:val="20"/>
        </w:rPr>
        <w:t>only.</w:t>
      </w:r>
    </w:p>
    <w:p w14:paraId="6F1B2330" w14:textId="77777777" w:rsidR="008A77AC" w:rsidRPr="008C1A19" w:rsidRDefault="008A77AC" w:rsidP="00BB098C">
      <w:pPr>
        <w:pStyle w:val="Header"/>
        <w:numPr>
          <w:ilvl w:val="1"/>
          <w:numId w:val="36"/>
        </w:numPr>
        <w:tabs>
          <w:tab w:val="left" w:pos="1620"/>
        </w:tabs>
        <w:spacing w:after="120"/>
        <w:ind w:left="1620"/>
        <w:jc w:val="both"/>
        <w:rPr>
          <w:rFonts w:ascii="Times New Roman" w:hAnsi="Times New Roman"/>
          <w:noProof w:val="0"/>
          <w:sz w:val="20"/>
        </w:rPr>
      </w:pPr>
      <w:r w:rsidRPr="008C1A19">
        <w:rPr>
          <w:rFonts w:ascii="Times New Roman" w:hAnsi="Times New Roman"/>
          <w:noProof w:val="0"/>
          <w:sz w:val="20"/>
        </w:rPr>
        <w:t>No other information on baseband capabilities is included in the new IE(s)</w:t>
      </w:r>
      <w:r w:rsidR="00C76479">
        <w:rPr>
          <w:rFonts w:ascii="Times New Roman" w:hAnsi="Times New Roman"/>
          <w:noProof w:val="0"/>
          <w:sz w:val="20"/>
        </w:rPr>
        <w:t>.</w:t>
      </w:r>
    </w:p>
    <w:p w14:paraId="7F21E6D7" w14:textId="77777777" w:rsidR="008A77AC" w:rsidRPr="008C1A19" w:rsidRDefault="008A77AC" w:rsidP="00BB098C">
      <w:pPr>
        <w:pStyle w:val="Header"/>
        <w:numPr>
          <w:ilvl w:val="1"/>
          <w:numId w:val="36"/>
        </w:numPr>
        <w:tabs>
          <w:tab w:val="left" w:pos="1620"/>
        </w:tabs>
        <w:spacing w:after="120"/>
        <w:ind w:left="1620"/>
        <w:jc w:val="both"/>
        <w:rPr>
          <w:rFonts w:ascii="Times New Roman" w:hAnsi="Times New Roman"/>
          <w:noProof w:val="0"/>
          <w:sz w:val="20"/>
        </w:rPr>
      </w:pPr>
      <w:r w:rsidRPr="008C1A19">
        <w:rPr>
          <w:rFonts w:ascii="Times New Roman" w:hAnsi="Times New Roman"/>
          <w:noProof w:val="0"/>
          <w:sz w:val="20"/>
        </w:rPr>
        <w:t>The IE is applicable to the full BC and there is no differentiation for FDD/TDD bands</w:t>
      </w:r>
      <w:r w:rsidR="00C76479">
        <w:rPr>
          <w:rFonts w:ascii="Times New Roman" w:hAnsi="Times New Roman"/>
          <w:noProof w:val="0"/>
          <w:sz w:val="20"/>
        </w:rPr>
        <w:t>.</w:t>
      </w:r>
    </w:p>
    <w:p w14:paraId="52A1B06E" w14:textId="77777777" w:rsidR="008A77AC" w:rsidRPr="008C1A19" w:rsidRDefault="008A77AC" w:rsidP="007B6B4C">
      <w:pPr>
        <w:tabs>
          <w:tab w:val="left" w:pos="1260"/>
        </w:tabs>
        <w:ind w:left="1260" w:hanging="1260"/>
        <w:rPr>
          <w:b/>
          <w:bCs/>
          <w:i/>
          <w:iCs/>
          <w:highlight w:val="yellow"/>
          <w:lang w:val="en-US"/>
        </w:rPr>
      </w:pPr>
    </w:p>
    <w:p w14:paraId="1FFA3C36" w14:textId="77777777" w:rsidR="00D34992" w:rsidRPr="0009642D" w:rsidRDefault="00D34992" w:rsidP="00D34992">
      <w:pPr>
        <w:pStyle w:val="Heading1"/>
      </w:pPr>
      <w:r w:rsidRPr="0009642D">
        <w:t>Conclusion</w:t>
      </w:r>
    </w:p>
    <w:p w14:paraId="5DE4ABB2" w14:textId="1223493F" w:rsidR="00751545" w:rsidRDefault="008A77AC" w:rsidP="00751545">
      <w:pPr>
        <w:jc w:val="both"/>
      </w:pPr>
      <w:r w:rsidRPr="008A77AC">
        <w:t xml:space="preserve">In this paper we share views on the proposed CA capability signalling framework in [3] and </w:t>
      </w:r>
      <w:r w:rsidR="00751545" w:rsidRPr="008C1A19">
        <w:t>we make the following proposals:</w:t>
      </w:r>
    </w:p>
    <w:p w14:paraId="289BC1D4" w14:textId="77777777" w:rsidR="00C76479" w:rsidRPr="00E96D40" w:rsidRDefault="00C76479" w:rsidP="00C76479">
      <w:pPr>
        <w:tabs>
          <w:tab w:val="left" w:pos="1260"/>
        </w:tabs>
        <w:ind w:left="1260" w:hanging="1260"/>
        <w:jc w:val="both"/>
        <w:rPr>
          <w:b/>
          <w:bCs/>
        </w:rPr>
      </w:pPr>
      <w:r w:rsidRPr="00A15748">
        <w:rPr>
          <w:b/>
          <w:bCs/>
        </w:rPr>
        <w:t>Proposal #1:</w:t>
      </w:r>
      <w:r>
        <w:rPr>
          <w:b/>
          <w:bCs/>
        </w:rPr>
        <w:tab/>
      </w:r>
      <w:r w:rsidRPr="00E96D40">
        <w:rPr>
          <w:b/>
          <w:bCs/>
        </w:rPr>
        <w:t xml:space="preserve">Ask RAN2 feedback on </w:t>
      </w:r>
      <w:r w:rsidRPr="00E96D40">
        <w:rPr>
          <w:b/>
          <w:bCs/>
          <w:lang w:val="en-US"/>
        </w:rPr>
        <w:t>whether UE capability signalling overhead is critical from RAN2 perspective and if there are any</w:t>
      </w:r>
      <w:r>
        <w:rPr>
          <w:b/>
          <w:bCs/>
          <w:lang w:val="en-US"/>
        </w:rPr>
        <w:t xml:space="preserve"> existing RAN2</w:t>
      </w:r>
      <w:r w:rsidRPr="00E96D40">
        <w:rPr>
          <w:b/>
          <w:bCs/>
          <w:lang w:val="en-US"/>
        </w:rPr>
        <w:t xml:space="preserve"> </w:t>
      </w:r>
      <w:r>
        <w:rPr>
          <w:b/>
          <w:bCs/>
          <w:lang w:val="en-US"/>
        </w:rPr>
        <w:t>solutions</w:t>
      </w:r>
      <w:r w:rsidRPr="00E96D40">
        <w:rPr>
          <w:b/>
          <w:bCs/>
          <w:lang w:val="en-US"/>
        </w:rPr>
        <w:t xml:space="preserve"> to overcome the problem.</w:t>
      </w:r>
    </w:p>
    <w:p w14:paraId="7A67A6A6" w14:textId="77777777" w:rsidR="00C76479" w:rsidRPr="00340A14" w:rsidRDefault="00C76479" w:rsidP="00C76479">
      <w:pPr>
        <w:tabs>
          <w:tab w:val="left" w:pos="1260"/>
        </w:tabs>
        <w:ind w:left="1260" w:hanging="1260"/>
        <w:jc w:val="both"/>
        <w:rPr>
          <w:b/>
          <w:bCs/>
        </w:rPr>
      </w:pPr>
      <w:r w:rsidRPr="00340A14">
        <w:rPr>
          <w:b/>
          <w:bCs/>
        </w:rPr>
        <w:t>Proposal #2:</w:t>
      </w:r>
      <w:r w:rsidRPr="00340A14">
        <w:rPr>
          <w:b/>
          <w:bCs/>
        </w:rPr>
        <w:tab/>
      </w:r>
      <w:r>
        <w:rPr>
          <w:b/>
          <w:bCs/>
        </w:rPr>
        <w:t>Ask</w:t>
      </w:r>
      <w:r w:rsidRPr="00340A14">
        <w:rPr>
          <w:b/>
          <w:bCs/>
        </w:rPr>
        <w:t xml:space="preserve"> RAN2 feedback on possible backward compatibility issues </w:t>
      </w:r>
      <w:r>
        <w:rPr>
          <w:b/>
          <w:bCs/>
        </w:rPr>
        <w:t xml:space="preserve">for the proposed signalling framework </w:t>
      </w:r>
      <w:r w:rsidRPr="00340A14">
        <w:rPr>
          <w:b/>
          <w:bCs/>
        </w:rPr>
        <w:t xml:space="preserve">before introducing the new the capability signalling. </w:t>
      </w:r>
    </w:p>
    <w:p w14:paraId="757116D4" w14:textId="6EBDAB62" w:rsidR="00C76479" w:rsidRPr="00C61090" w:rsidRDefault="00C76479" w:rsidP="00C76479">
      <w:pPr>
        <w:tabs>
          <w:tab w:val="left" w:pos="1260"/>
        </w:tabs>
        <w:ind w:left="1260" w:hanging="1260"/>
        <w:rPr>
          <w:b/>
          <w:bCs/>
        </w:rPr>
      </w:pPr>
      <w:r w:rsidRPr="00C61090">
        <w:rPr>
          <w:b/>
          <w:bCs/>
        </w:rPr>
        <w:t>Proposal #3:</w:t>
      </w:r>
      <w:r w:rsidRPr="00C61090">
        <w:rPr>
          <w:b/>
          <w:bCs/>
        </w:rPr>
        <w:tab/>
      </w:r>
      <w:r w:rsidR="007E01AE">
        <w:rPr>
          <w:b/>
          <w:bCs/>
        </w:rPr>
        <w:t xml:space="preserve">If </w:t>
      </w:r>
      <w:r w:rsidR="007E01AE" w:rsidRPr="007E01AE">
        <w:rPr>
          <w:b/>
          <w:bCs/>
        </w:rPr>
        <w:t xml:space="preserve">the new IE is agreed to be introduced then we should </w:t>
      </w:r>
      <w:r w:rsidR="007E01AE">
        <w:rPr>
          <w:b/>
          <w:bCs/>
        </w:rPr>
        <w:t>c</w:t>
      </w:r>
      <w:r w:rsidRPr="00C61090">
        <w:rPr>
          <w:b/>
          <w:bCs/>
        </w:rPr>
        <w:t>onsider the following UE capability signalling framework</w:t>
      </w:r>
      <w:r>
        <w:rPr>
          <w:b/>
          <w:bCs/>
        </w:rPr>
        <w:t>:</w:t>
      </w:r>
    </w:p>
    <w:p w14:paraId="0E85ABD8" w14:textId="77777777" w:rsidR="00C76479" w:rsidRPr="00C61090" w:rsidRDefault="00C76479" w:rsidP="00BB098C">
      <w:pPr>
        <w:pStyle w:val="Header"/>
        <w:numPr>
          <w:ilvl w:val="1"/>
          <w:numId w:val="36"/>
        </w:numPr>
        <w:tabs>
          <w:tab w:val="left" w:pos="1620"/>
        </w:tabs>
        <w:spacing w:after="120"/>
        <w:ind w:left="1620"/>
        <w:jc w:val="both"/>
        <w:rPr>
          <w:rFonts w:ascii="Times New Roman" w:hAnsi="Times New Roman"/>
          <w:noProof w:val="0"/>
          <w:sz w:val="20"/>
        </w:rPr>
      </w:pPr>
      <w:r w:rsidRPr="00C61090">
        <w:rPr>
          <w:rFonts w:ascii="Times New Roman" w:hAnsi="Times New Roman"/>
          <w:noProof w:val="0"/>
          <w:sz w:val="20"/>
        </w:rPr>
        <w:t xml:space="preserve">The new IE includes information on the maximum aggregated BW </w:t>
      </w:r>
      <w:r>
        <w:rPr>
          <w:rFonts w:ascii="Times New Roman" w:hAnsi="Times New Roman"/>
          <w:noProof w:val="0"/>
          <w:sz w:val="20"/>
        </w:rPr>
        <w:t xml:space="preserve">with a </w:t>
      </w:r>
      <w:r w:rsidRPr="00C61090">
        <w:rPr>
          <w:rFonts w:ascii="Times New Roman" w:hAnsi="Times New Roman"/>
          <w:noProof w:val="0"/>
          <w:sz w:val="20"/>
        </w:rPr>
        <w:t>per BC</w:t>
      </w:r>
      <w:r>
        <w:rPr>
          <w:rFonts w:ascii="Times New Roman" w:hAnsi="Times New Roman"/>
          <w:noProof w:val="0"/>
          <w:sz w:val="20"/>
        </w:rPr>
        <w:t xml:space="preserve"> granularity</w:t>
      </w:r>
      <w:r w:rsidRPr="00C61090">
        <w:rPr>
          <w:rFonts w:ascii="Times New Roman" w:hAnsi="Times New Roman"/>
          <w:noProof w:val="0"/>
          <w:sz w:val="20"/>
        </w:rPr>
        <w:t>.</w:t>
      </w:r>
    </w:p>
    <w:p w14:paraId="391E3571" w14:textId="77777777" w:rsidR="00C76479" w:rsidRPr="00C61090" w:rsidRDefault="00C76479" w:rsidP="00BB098C">
      <w:pPr>
        <w:pStyle w:val="Header"/>
        <w:numPr>
          <w:ilvl w:val="1"/>
          <w:numId w:val="36"/>
        </w:numPr>
        <w:tabs>
          <w:tab w:val="left" w:pos="1620"/>
        </w:tabs>
        <w:spacing w:after="120"/>
        <w:ind w:left="1620"/>
        <w:jc w:val="both"/>
        <w:rPr>
          <w:rFonts w:ascii="Times New Roman" w:hAnsi="Times New Roman"/>
          <w:noProof w:val="0"/>
          <w:sz w:val="20"/>
        </w:rPr>
      </w:pPr>
      <w:r w:rsidRPr="00C61090">
        <w:rPr>
          <w:rFonts w:ascii="Times New Roman" w:hAnsi="Times New Roman"/>
          <w:noProof w:val="0"/>
          <w:sz w:val="20"/>
        </w:rPr>
        <w:t xml:space="preserve">The new IE is optional for a UE to signal for BCS5 with a per-BC granularity. </w:t>
      </w:r>
    </w:p>
    <w:p w14:paraId="56F4FDD3" w14:textId="77777777" w:rsidR="00C76479" w:rsidRPr="00C61090" w:rsidRDefault="00C76479" w:rsidP="00BB098C">
      <w:pPr>
        <w:pStyle w:val="Header"/>
        <w:numPr>
          <w:ilvl w:val="1"/>
          <w:numId w:val="36"/>
        </w:numPr>
        <w:tabs>
          <w:tab w:val="left" w:pos="1620"/>
        </w:tabs>
        <w:spacing w:after="120"/>
        <w:ind w:left="1620"/>
        <w:jc w:val="both"/>
        <w:rPr>
          <w:rFonts w:ascii="Times New Roman" w:hAnsi="Times New Roman"/>
          <w:noProof w:val="0"/>
          <w:sz w:val="20"/>
        </w:rPr>
      </w:pPr>
      <w:r w:rsidRPr="00C61090">
        <w:rPr>
          <w:rFonts w:ascii="Times New Roman" w:hAnsi="Times New Roman"/>
          <w:noProof w:val="0"/>
          <w:sz w:val="20"/>
        </w:rPr>
        <w:t xml:space="preserve">The new IE applies to different CA scenarios including intra-band and inter-band CA. </w:t>
      </w:r>
    </w:p>
    <w:p w14:paraId="0FBA7653" w14:textId="77777777" w:rsidR="00C76479" w:rsidRPr="00C61090" w:rsidRDefault="00C76479" w:rsidP="00BB098C">
      <w:pPr>
        <w:pStyle w:val="Header"/>
        <w:numPr>
          <w:ilvl w:val="1"/>
          <w:numId w:val="36"/>
        </w:numPr>
        <w:tabs>
          <w:tab w:val="left" w:pos="1620"/>
        </w:tabs>
        <w:spacing w:after="120"/>
        <w:ind w:left="1620"/>
        <w:jc w:val="both"/>
        <w:rPr>
          <w:rFonts w:ascii="Times New Roman" w:hAnsi="Times New Roman"/>
          <w:noProof w:val="0"/>
          <w:sz w:val="20"/>
        </w:rPr>
      </w:pPr>
      <w:r w:rsidRPr="00C61090">
        <w:rPr>
          <w:rFonts w:ascii="Times New Roman" w:hAnsi="Times New Roman"/>
          <w:noProof w:val="0"/>
          <w:sz w:val="20"/>
        </w:rPr>
        <w:t>The new IE is applicable to DL only</w:t>
      </w:r>
      <w:r>
        <w:rPr>
          <w:rFonts w:ascii="Times New Roman" w:hAnsi="Times New Roman"/>
          <w:noProof w:val="0"/>
          <w:sz w:val="20"/>
        </w:rPr>
        <w:t>.</w:t>
      </w:r>
    </w:p>
    <w:p w14:paraId="7F5A0C7D" w14:textId="77777777" w:rsidR="00C76479" w:rsidRPr="00C61090" w:rsidRDefault="00C76479" w:rsidP="00BB098C">
      <w:pPr>
        <w:pStyle w:val="Header"/>
        <w:numPr>
          <w:ilvl w:val="1"/>
          <w:numId w:val="36"/>
        </w:numPr>
        <w:tabs>
          <w:tab w:val="left" w:pos="1620"/>
        </w:tabs>
        <w:spacing w:after="120"/>
        <w:ind w:left="1620"/>
        <w:jc w:val="both"/>
        <w:rPr>
          <w:rFonts w:ascii="Times New Roman" w:hAnsi="Times New Roman"/>
          <w:noProof w:val="0"/>
          <w:sz w:val="20"/>
        </w:rPr>
      </w:pPr>
      <w:r w:rsidRPr="00C61090">
        <w:rPr>
          <w:rFonts w:ascii="Times New Roman" w:hAnsi="Times New Roman"/>
          <w:noProof w:val="0"/>
          <w:sz w:val="20"/>
        </w:rPr>
        <w:t>No other information on baseband capabilities is included in the new IE(s)</w:t>
      </w:r>
      <w:r>
        <w:rPr>
          <w:rFonts w:ascii="Times New Roman" w:hAnsi="Times New Roman"/>
          <w:noProof w:val="0"/>
          <w:sz w:val="20"/>
        </w:rPr>
        <w:t>.</w:t>
      </w:r>
    </w:p>
    <w:p w14:paraId="3C9E1C69" w14:textId="614BE615" w:rsidR="00C76479" w:rsidRDefault="00C76479" w:rsidP="00BB098C">
      <w:pPr>
        <w:pStyle w:val="Header"/>
        <w:numPr>
          <w:ilvl w:val="1"/>
          <w:numId w:val="36"/>
        </w:numPr>
        <w:tabs>
          <w:tab w:val="left" w:pos="1620"/>
        </w:tabs>
        <w:spacing w:after="120"/>
        <w:ind w:left="1620"/>
        <w:jc w:val="both"/>
        <w:rPr>
          <w:rFonts w:ascii="Times New Roman" w:hAnsi="Times New Roman"/>
          <w:noProof w:val="0"/>
          <w:sz w:val="20"/>
        </w:rPr>
      </w:pPr>
      <w:r w:rsidRPr="00C61090">
        <w:rPr>
          <w:rFonts w:ascii="Times New Roman" w:hAnsi="Times New Roman"/>
          <w:noProof w:val="0"/>
          <w:sz w:val="20"/>
        </w:rPr>
        <w:t>The IE is applicable to the full BC and there is no differentiation for FDD/TDD bands</w:t>
      </w:r>
      <w:r>
        <w:rPr>
          <w:rFonts w:ascii="Times New Roman" w:hAnsi="Times New Roman"/>
          <w:noProof w:val="0"/>
          <w:sz w:val="20"/>
        </w:rPr>
        <w:t>.</w:t>
      </w:r>
    </w:p>
    <w:p w14:paraId="64871B52" w14:textId="77777777" w:rsidR="008C1A19" w:rsidRDefault="008C1A19" w:rsidP="008C1A19">
      <w:pPr>
        <w:pStyle w:val="Header"/>
        <w:tabs>
          <w:tab w:val="left" w:pos="727"/>
        </w:tabs>
        <w:spacing w:after="120"/>
        <w:jc w:val="both"/>
        <w:rPr>
          <w:rFonts w:ascii="Times New Roman" w:hAnsi="Times New Roman"/>
          <w:noProof w:val="0"/>
          <w:sz w:val="20"/>
        </w:rPr>
      </w:pPr>
    </w:p>
    <w:p w14:paraId="66245904" w14:textId="77777777" w:rsidR="007B3B36" w:rsidRPr="002E307B" w:rsidRDefault="007B3B36" w:rsidP="007B3B36">
      <w:pPr>
        <w:pStyle w:val="Heading1"/>
        <w:numPr>
          <w:ilvl w:val="0"/>
          <w:numId w:val="0"/>
        </w:numPr>
        <w:rPr>
          <w:lang w:val="en-US"/>
        </w:rPr>
      </w:pPr>
      <w:r w:rsidRPr="002E307B">
        <w:t>References</w:t>
      </w:r>
    </w:p>
    <w:p w14:paraId="1B77D089" w14:textId="77777777" w:rsidR="00523B85" w:rsidRPr="00523B85" w:rsidRDefault="00523B85" w:rsidP="005B2D68">
      <w:pPr>
        <w:numPr>
          <w:ilvl w:val="0"/>
          <w:numId w:val="6"/>
        </w:numPr>
      </w:pPr>
      <w:r w:rsidRPr="00523B85">
        <w:rPr>
          <w:rFonts w:cs="Calibri"/>
        </w:rPr>
        <w:t>R4-2208676</w:t>
      </w:r>
      <w:r>
        <w:rPr>
          <w:rFonts w:cs="Calibri"/>
        </w:rPr>
        <w:t xml:space="preserve">, </w:t>
      </w:r>
      <w:r w:rsidRPr="00523B85">
        <w:rPr>
          <w:rFonts w:cs="Calibri"/>
        </w:rPr>
        <w:t>Discussion on maximum aggregated channel bandwidth</w:t>
      </w:r>
      <w:r w:rsidRPr="004A4948">
        <w:rPr>
          <w:rFonts w:cs="Calibri"/>
        </w:rPr>
        <w:t>, Qualcomm</w:t>
      </w:r>
      <w:r>
        <w:rPr>
          <w:rFonts w:cs="Calibri"/>
        </w:rPr>
        <w:t>, RAN4 #103</w:t>
      </w:r>
    </w:p>
    <w:p w14:paraId="5E87E8B1" w14:textId="77777777" w:rsidR="00523B85" w:rsidRPr="00523B85" w:rsidRDefault="00523B85" w:rsidP="005B2D68">
      <w:pPr>
        <w:numPr>
          <w:ilvl w:val="0"/>
          <w:numId w:val="6"/>
        </w:numPr>
      </w:pPr>
      <w:r w:rsidRPr="00523B85">
        <w:rPr>
          <w:rFonts w:cs="Calibri"/>
        </w:rPr>
        <w:t>R4-2219749</w:t>
      </w:r>
      <w:r>
        <w:rPr>
          <w:rFonts w:cs="Calibri"/>
        </w:rPr>
        <w:t xml:space="preserve">, </w:t>
      </w:r>
      <w:r w:rsidRPr="00523B85">
        <w:rPr>
          <w:rFonts w:cs="Calibri"/>
        </w:rPr>
        <w:t>Maximum aggregated channel bandwidth for FR1 CA</w:t>
      </w:r>
      <w:r>
        <w:rPr>
          <w:rFonts w:cs="Calibri"/>
        </w:rPr>
        <w:t xml:space="preserve">, </w:t>
      </w:r>
      <w:r w:rsidRPr="00523B85">
        <w:rPr>
          <w:rFonts w:cs="Calibri"/>
        </w:rPr>
        <w:t>Verizon, Qualcomm</w:t>
      </w:r>
      <w:r>
        <w:rPr>
          <w:rFonts w:cs="Calibri"/>
        </w:rPr>
        <w:t>, RAN4 #105</w:t>
      </w:r>
    </w:p>
    <w:p w14:paraId="1EF6AEBC" w14:textId="77777777" w:rsidR="00751545" w:rsidRPr="00A8051B" w:rsidRDefault="004A4948" w:rsidP="005B2D68">
      <w:pPr>
        <w:numPr>
          <w:ilvl w:val="0"/>
          <w:numId w:val="6"/>
        </w:numPr>
      </w:pPr>
      <w:bookmarkStart w:id="3" w:name="_Hlk127540805"/>
      <w:r w:rsidRPr="004A4948">
        <w:rPr>
          <w:rFonts w:cs="Calibri"/>
        </w:rPr>
        <w:t>R4-2220819</w:t>
      </w:r>
      <w:bookmarkEnd w:id="3"/>
      <w:r>
        <w:rPr>
          <w:rFonts w:cs="Calibri"/>
        </w:rPr>
        <w:t>,</w:t>
      </w:r>
      <w:r w:rsidRPr="004A4948">
        <w:rPr>
          <w:rFonts w:cs="Calibri"/>
        </w:rPr>
        <w:t xml:space="preserve"> WF on new IEs for maximum aggregated BW for intra-band CA and for inter-band CA for FR1, Qualcomm</w:t>
      </w:r>
      <w:r w:rsidR="00523B85">
        <w:rPr>
          <w:rFonts w:cs="Calibri"/>
        </w:rPr>
        <w:t>, RAN4 #105</w:t>
      </w:r>
    </w:p>
    <w:sectPr w:rsidR="00751545" w:rsidRPr="00A8051B"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145A5" w14:textId="77777777" w:rsidR="00CE2F43" w:rsidRDefault="00CE2F43">
      <w:r>
        <w:separator/>
      </w:r>
    </w:p>
  </w:endnote>
  <w:endnote w:type="continuationSeparator" w:id="0">
    <w:p w14:paraId="5AE1F57E" w14:textId="77777777" w:rsidR="00CE2F43" w:rsidRDefault="00CE2F43">
      <w:r>
        <w:continuationSeparator/>
      </w:r>
    </w:p>
  </w:endnote>
  <w:endnote w:type="continuationNotice" w:id="1">
    <w:p w14:paraId="25F68AD8" w14:textId="77777777" w:rsidR="00CE2F43" w:rsidRDefault="00CE2F4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roman"/>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D0ED7" w14:textId="77777777" w:rsidR="003A5556" w:rsidRDefault="003A555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67F3727" w14:textId="77777777" w:rsidR="003A5556" w:rsidRDefault="003A555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C8BB0" w14:textId="77777777" w:rsidR="003A5556" w:rsidRPr="00DB1239" w:rsidRDefault="003A5556"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A8051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051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AFFFD" w14:textId="77777777" w:rsidR="00CE2F43" w:rsidRDefault="00CE2F43">
      <w:r>
        <w:separator/>
      </w:r>
    </w:p>
  </w:footnote>
  <w:footnote w:type="continuationSeparator" w:id="0">
    <w:p w14:paraId="50FBA99E" w14:textId="77777777" w:rsidR="00CE2F43" w:rsidRDefault="00CE2F43">
      <w:r>
        <w:continuationSeparator/>
      </w:r>
    </w:p>
  </w:footnote>
  <w:footnote w:type="continuationNotice" w:id="1">
    <w:p w14:paraId="5B2398F2" w14:textId="77777777" w:rsidR="00CE2F43" w:rsidRDefault="00CE2F4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90428" w14:textId="77777777" w:rsidR="003A5556" w:rsidRDefault="003A555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2A014A"/>
    <w:multiLevelType w:val="hybridMultilevel"/>
    <w:tmpl w:val="220A2AF2"/>
    <w:lvl w:ilvl="0" w:tplc="08090001">
      <w:start w:val="1"/>
      <w:numFmt w:val="bullet"/>
      <w:lvlText w:val=""/>
      <w:lvlJc w:val="left"/>
      <w:pPr>
        <w:ind w:left="1472" w:hanging="360"/>
      </w:pPr>
      <w:rPr>
        <w:rFonts w:ascii="Symbol" w:hAnsi="Symbol" w:hint="default"/>
      </w:rPr>
    </w:lvl>
    <w:lvl w:ilvl="1" w:tplc="08090003">
      <w:start w:val="1"/>
      <w:numFmt w:val="bullet"/>
      <w:lvlText w:val="o"/>
      <w:lvlJc w:val="left"/>
      <w:pPr>
        <w:ind w:left="2192" w:hanging="360"/>
      </w:pPr>
      <w:rPr>
        <w:rFonts w:ascii="Courier New" w:hAnsi="Courier New" w:cs="Courier New" w:hint="default"/>
      </w:rPr>
    </w:lvl>
    <w:lvl w:ilvl="2" w:tplc="08090005">
      <w:start w:val="1"/>
      <w:numFmt w:val="bullet"/>
      <w:lvlText w:val=""/>
      <w:lvlJc w:val="left"/>
      <w:pPr>
        <w:ind w:left="2912" w:hanging="360"/>
      </w:pPr>
      <w:rPr>
        <w:rFonts w:ascii="Wingdings" w:hAnsi="Wingdings" w:hint="default"/>
      </w:rPr>
    </w:lvl>
    <w:lvl w:ilvl="3" w:tplc="08090001" w:tentative="1">
      <w:start w:val="1"/>
      <w:numFmt w:val="bullet"/>
      <w:lvlText w:val=""/>
      <w:lvlJc w:val="left"/>
      <w:pPr>
        <w:ind w:left="3632" w:hanging="360"/>
      </w:pPr>
      <w:rPr>
        <w:rFonts w:ascii="Symbol" w:hAnsi="Symbol" w:hint="default"/>
      </w:rPr>
    </w:lvl>
    <w:lvl w:ilvl="4" w:tplc="08090003" w:tentative="1">
      <w:start w:val="1"/>
      <w:numFmt w:val="bullet"/>
      <w:lvlText w:val="o"/>
      <w:lvlJc w:val="left"/>
      <w:pPr>
        <w:ind w:left="4352" w:hanging="360"/>
      </w:pPr>
      <w:rPr>
        <w:rFonts w:ascii="Courier New" w:hAnsi="Courier New" w:cs="Courier New" w:hint="default"/>
      </w:rPr>
    </w:lvl>
    <w:lvl w:ilvl="5" w:tplc="08090005" w:tentative="1">
      <w:start w:val="1"/>
      <w:numFmt w:val="bullet"/>
      <w:lvlText w:val=""/>
      <w:lvlJc w:val="left"/>
      <w:pPr>
        <w:ind w:left="5072" w:hanging="360"/>
      </w:pPr>
      <w:rPr>
        <w:rFonts w:ascii="Wingdings" w:hAnsi="Wingdings" w:hint="default"/>
      </w:rPr>
    </w:lvl>
    <w:lvl w:ilvl="6" w:tplc="08090001" w:tentative="1">
      <w:start w:val="1"/>
      <w:numFmt w:val="bullet"/>
      <w:lvlText w:val=""/>
      <w:lvlJc w:val="left"/>
      <w:pPr>
        <w:ind w:left="5792" w:hanging="360"/>
      </w:pPr>
      <w:rPr>
        <w:rFonts w:ascii="Symbol" w:hAnsi="Symbol" w:hint="default"/>
      </w:rPr>
    </w:lvl>
    <w:lvl w:ilvl="7" w:tplc="08090003" w:tentative="1">
      <w:start w:val="1"/>
      <w:numFmt w:val="bullet"/>
      <w:lvlText w:val="o"/>
      <w:lvlJc w:val="left"/>
      <w:pPr>
        <w:ind w:left="6512" w:hanging="360"/>
      </w:pPr>
      <w:rPr>
        <w:rFonts w:ascii="Courier New" w:hAnsi="Courier New" w:cs="Courier New" w:hint="default"/>
      </w:rPr>
    </w:lvl>
    <w:lvl w:ilvl="8" w:tplc="08090005" w:tentative="1">
      <w:start w:val="1"/>
      <w:numFmt w:val="bullet"/>
      <w:lvlText w:val=""/>
      <w:lvlJc w:val="left"/>
      <w:pPr>
        <w:ind w:left="7232" w:hanging="360"/>
      </w:pPr>
      <w:rPr>
        <w:rFonts w:ascii="Wingdings" w:hAnsi="Wingdings" w:hint="default"/>
      </w:rPr>
    </w:lvl>
  </w:abstractNum>
  <w:abstractNum w:abstractNumId="3" w15:restartNumberingAfterBreak="0">
    <w:nsid w:val="035576E9"/>
    <w:multiLevelType w:val="hybridMultilevel"/>
    <w:tmpl w:val="27C645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5251613"/>
    <w:multiLevelType w:val="hybridMultilevel"/>
    <w:tmpl w:val="357AF5EC"/>
    <w:lvl w:ilvl="0" w:tplc="18090001">
      <w:start w:val="1"/>
      <w:numFmt w:val="bullet"/>
      <w:lvlText w:val=""/>
      <w:lvlJc w:val="left"/>
      <w:pPr>
        <w:ind w:left="648" w:hanging="360"/>
      </w:pPr>
      <w:rPr>
        <w:rFonts w:ascii="Symbol" w:hAnsi="Symbol" w:hint="default"/>
      </w:rPr>
    </w:lvl>
    <w:lvl w:ilvl="1" w:tplc="18090003" w:tentative="1">
      <w:start w:val="1"/>
      <w:numFmt w:val="bullet"/>
      <w:lvlText w:val="o"/>
      <w:lvlJc w:val="left"/>
      <w:pPr>
        <w:ind w:left="1368" w:hanging="360"/>
      </w:pPr>
      <w:rPr>
        <w:rFonts w:ascii="Courier New" w:hAnsi="Courier New" w:cs="Courier New" w:hint="default"/>
      </w:rPr>
    </w:lvl>
    <w:lvl w:ilvl="2" w:tplc="18090005" w:tentative="1">
      <w:start w:val="1"/>
      <w:numFmt w:val="bullet"/>
      <w:lvlText w:val=""/>
      <w:lvlJc w:val="left"/>
      <w:pPr>
        <w:ind w:left="2088" w:hanging="360"/>
      </w:pPr>
      <w:rPr>
        <w:rFonts w:ascii="Wingdings" w:hAnsi="Wingdings" w:hint="default"/>
      </w:rPr>
    </w:lvl>
    <w:lvl w:ilvl="3" w:tplc="18090001" w:tentative="1">
      <w:start w:val="1"/>
      <w:numFmt w:val="bullet"/>
      <w:lvlText w:val=""/>
      <w:lvlJc w:val="left"/>
      <w:pPr>
        <w:ind w:left="2808" w:hanging="360"/>
      </w:pPr>
      <w:rPr>
        <w:rFonts w:ascii="Symbol" w:hAnsi="Symbol" w:hint="default"/>
      </w:rPr>
    </w:lvl>
    <w:lvl w:ilvl="4" w:tplc="18090003" w:tentative="1">
      <w:start w:val="1"/>
      <w:numFmt w:val="bullet"/>
      <w:lvlText w:val="o"/>
      <w:lvlJc w:val="left"/>
      <w:pPr>
        <w:ind w:left="3528" w:hanging="360"/>
      </w:pPr>
      <w:rPr>
        <w:rFonts w:ascii="Courier New" w:hAnsi="Courier New" w:cs="Courier New" w:hint="default"/>
      </w:rPr>
    </w:lvl>
    <w:lvl w:ilvl="5" w:tplc="18090005" w:tentative="1">
      <w:start w:val="1"/>
      <w:numFmt w:val="bullet"/>
      <w:lvlText w:val=""/>
      <w:lvlJc w:val="left"/>
      <w:pPr>
        <w:ind w:left="4248" w:hanging="360"/>
      </w:pPr>
      <w:rPr>
        <w:rFonts w:ascii="Wingdings" w:hAnsi="Wingdings" w:hint="default"/>
      </w:rPr>
    </w:lvl>
    <w:lvl w:ilvl="6" w:tplc="18090001" w:tentative="1">
      <w:start w:val="1"/>
      <w:numFmt w:val="bullet"/>
      <w:lvlText w:val=""/>
      <w:lvlJc w:val="left"/>
      <w:pPr>
        <w:ind w:left="4968" w:hanging="360"/>
      </w:pPr>
      <w:rPr>
        <w:rFonts w:ascii="Symbol" w:hAnsi="Symbol" w:hint="default"/>
      </w:rPr>
    </w:lvl>
    <w:lvl w:ilvl="7" w:tplc="18090003" w:tentative="1">
      <w:start w:val="1"/>
      <w:numFmt w:val="bullet"/>
      <w:lvlText w:val="o"/>
      <w:lvlJc w:val="left"/>
      <w:pPr>
        <w:ind w:left="5688" w:hanging="360"/>
      </w:pPr>
      <w:rPr>
        <w:rFonts w:ascii="Courier New" w:hAnsi="Courier New" w:cs="Courier New" w:hint="default"/>
      </w:rPr>
    </w:lvl>
    <w:lvl w:ilvl="8" w:tplc="18090005" w:tentative="1">
      <w:start w:val="1"/>
      <w:numFmt w:val="bullet"/>
      <w:lvlText w:val=""/>
      <w:lvlJc w:val="left"/>
      <w:pPr>
        <w:ind w:left="6408" w:hanging="360"/>
      </w:pPr>
      <w:rPr>
        <w:rFonts w:ascii="Wingdings" w:hAnsi="Wingdings" w:hint="default"/>
      </w:rPr>
    </w:lvl>
  </w:abstractNum>
  <w:abstractNum w:abstractNumId="5" w15:restartNumberingAfterBreak="0">
    <w:nsid w:val="0A6326C1"/>
    <w:multiLevelType w:val="hybridMultilevel"/>
    <w:tmpl w:val="DB08498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0EB03B70"/>
    <w:multiLevelType w:val="hybridMultilevel"/>
    <w:tmpl w:val="F238DA64"/>
    <w:lvl w:ilvl="0" w:tplc="AF68DBAC">
      <w:start w:val="1"/>
      <w:numFmt w:val="bullet"/>
      <w:lvlText w:val=""/>
      <w:lvlJc w:val="left"/>
      <w:pPr>
        <w:tabs>
          <w:tab w:val="num" w:pos="720"/>
        </w:tabs>
        <w:ind w:left="720" w:hanging="360"/>
      </w:pPr>
      <w:rPr>
        <w:rFonts w:ascii="Wingdings" w:hAnsi="Wingdings" w:hint="default"/>
      </w:rPr>
    </w:lvl>
    <w:lvl w:ilvl="1" w:tplc="D2D61340">
      <w:start w:val="1"/>
      <w:numFmt w:val="bullet"/>
      <w:lvlText w:val=""/>
      <w:lvlJc w:val="left"/>
      <w:pPr>
        <w:tabs>
          <w:tab w:val="num" w:pos="1440"/>
        </w:tabs>
        <w:ind w:left="1440" w:hanging="360"/>
      </w:pPr>
      <w:rPr>
        <w:rFonts w:ascii="Wingdings" w:hAnsi="Wingdings" w:hint="default"/>
      </w:rPr>
    </w:lvl>
    <w:lvl w:ilvl="2" w:tplc="C78845D8">
      <w:start w:val="184"/>
      <w:numFmt w:val="bullet"/>
      <w:lvlText w:val="–"/>
      <w:lvlJc w:val="left"/>
      <w:pPr>
        <w:tabs>
          <w:tab w:val="num" w:pos="2160"/>
        </w:tabs>
        <w:ind w:left="2160" w:hanging="360"/>
      </w:pPr>
      <w:rPr>
        <w:rFonts w:ascii="Intel Clear" w:hAnsi="Intel Clear" w:hint="default"/>
      </w:rPr>
    </w:lvl>
    <w:lvl w:ilvl="3" w:tplc="0074D4AE" w:tentative="1">
      <w:start w:val="1"/>
      <w:numFmt w:val="bullet"/>
      <w:lvlText w:val=""/>
      <w:lvlJc w:val="left"/>
      <w:pPr>
        <w:tabs>
          <w:tab w:val="num" w:pos="2880"/>
        </w:tabs>
        <w:ind w:left="2880" w:hanging="360"/>
      </w:pPr>
      <w:rPr>
        <w:rFonts w:ascii="Wingdings" w:hAnsi="Wingdings" w:hint="default"/>
      </w:rPr>
    </w:lvl>
    <w:lvl w:ilvl="4" w:tplc="C9F2F2CC" w:tentative="1">
      <w:start w:val="1"/>
      <w:numFmt w:val="bullet"/>
      <w:lvlText w:val=""/>
      <w:lvlJc w:val="left"/>
      <w:pPr>
        <w:tabs>
          <w:tab w:val="num" w:pos="3600"/>
        </w:tabs>
        <w:ind w:left="3600" w:hanging="360"/>
      </w:pPr>
      <w:rPr>
        <w:rFonts w:ascii="Wingdings" w:hAnsi="Wingdings" w:hint="default"/>
      </w:rPr>
    </w:lvl>
    <w:lvl w:ilvl="5" w:tplc="42E83626" w:tentative="1">
      <w:start w:val="1"/>
      <w:numFmt w:val="bullet"/>
      <w:lvlText w:val=""/>
      <w:lvlJc w:val="left"/>
      <w:pPr>
        <w:tabs>
          <w:tab w:val="num" w:pos="4320"/>
        </w:tabs>
        <w:ind w:left="4320" w:hanging="360"/>
      </w:pPr>
      <w:rPr>
        <w:rFonts w:ascii="Wingdings" w:hAnsi="Wingdings" w:hint="default"/>
      </w:rPr>
    </w:lvl>
    <w:lvl w:ilvl="6" w:tplc="A0B00908" w:tentative="1">
      <w:start w:val="1"/>
      <w:numFmt w:val="bullet"/>
      <w:lvlText w:val=""/>
      <w:lvlJc w:val="left"/>
      <w:pPr>
        <w:tabs>
          <w:tab w:val="num" w:pos="5040"/>
        </w:tabs>
        <w:ind w:left="5040" w:hanging="360"/>
      </w:pPr>
      <w:rPr>
        <w:rFonts w:ascii="Wingdings" w:hAnsi="Wingdings" w:hint="default"/>
      </w:rPr>
    </w:lvl>
    <w:lvl w:ilvl="7" w:tplc="BA32AD16" w:tentative="1">
      <w:start w:val="1"/>
      <w:numFmt w:val="bullet"/>
      <w:lvlText w:val=""/>
      <w:lvlJc w:val="left"/>
      <w:pPr>
        <w:tabs>
          <w:tab w:val="num" w:pos="5760"/>
        </w:tabs>
        <w:ind w:left="5760" w:hanging="360"/>
      </w:pPr>
      <w:rPr>
        <w:rFonts w:ascii="Wingdings" w:hAnsi="Wingdings" w:hint="default"/>
      </w:rPr>
    </w:lvl>
    <w:lvl w:ilvl="8" w:tplc="D788FE6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6823FC"/>
    <w:multiLevelType w:val="hybridMultilevel"/>
    <w:tmpl w:val="4B8A50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52645"/>
    <w:multiLevelType w:val="hybridMultilevel"/>
    <w:tmpl w:val="B7E2FBDE"/>
    <w:lvl w:ilvl="0" w:tplc="32345EBA">
      <w:start w:val="1"/>
      <w:numFmt w:val="bullet"/>
      <w:lvlText w:val=""/>
      <w:lvlJc w:val="left"/>
      <w:pPr>
        <w:tabs>
          <w:tab w:val="num" w:pos="720"/>
        </w:tabs>
        <w:ind w:left="720" w:hanging="360"/>
      </w:pPr>
      <w:rPr>
        <w:rFonts w:ascii="Wingdings" w:hAnsi="Wingdings" w:hint="default"/>
      </w:rPr>
    </w:lvl>
    <w:lvl w:ilvl="1" w:tplc="7C24FD36">
      <w:start w:val="1"/>
      <w:numFmt w:val="bullet"/>
      <w:lvlText w:val=""/>
      <w:lvlJc w:val="left"/>
      <w:pPr>
        <w:tabs>
          <w:tab w:val="num" w:pos="1440"/>
        </w:tabs>
        <w:ind w:left="1440" w:hanging="360"/>
      </w:pPr>
      <w:rPr>
        <w:rFonts w:ascii="Wingdings" w:hAnsi="Wingdings" w:hint="default"/>
      </w:rPr>
    </w:lvl>
    <w:lvl w:ilvl="2" w:tplc="C7A45CF8" w:tentative="1">
      <w:start w:val="1"/>
      <w:numFmt w:val="bullet"/>
      <w:lvlText w:val=""/>
      <w:lvlJc w:val="left"/>
      <w:pPr>
        <w:tabs>
          <w:tab w:val="num" w:pos="2160"/>
        </w:tabs>
        <w:ind w:left="2160" w:hanging="360"/>
      </w:pPr>
      <w:rPr>
        <w:rFonts w:ascii="Wingdings" w:hAnsi="Wingdings" w:hint="default"/>
      </w:rPr>
    </w:lvl>
    <w:lvl w:ilvl="3" w:tplc="FDF0A4E8" w:tentative="1">
      <w:start w:val="1"/>
      <w:numFmt w:val="bullet"/>
      <w:lvlText w:val=""/>
      <w:lvlJc w:val="left"/>
      <w:pPr>
        <w:tabs>
          <w:tab w:val="num" w:pos="2880"/>
        </w:tabs>
        <w:ind w:left="2880" w:hanging="360"/>
      </w:pPr>
      <w:rPr>
        <w:rFonts w:ascii="Wingdings" w:hAnsi="Wingdings" w:hint="default"/>
      </w:rPr>
    </w:lvl>
    <w:lvl w:ilvl="4" w:tplc="0A76AF6E" w:tentative="1">
      <w:start w:val="1"/>
      <w:numFmt w:val="bullet"/>
      <w:lvlText w:val=""/>
      <w:lvlJc w:val="left"/>
      <w:pPr>
        <w:tabs>
          <w:tab w:val="num" w:pos="3600"/>
        </w:tabs>
        <w:ind w:left="3600" w:hanging="360"/>
      </w:pPr>
      <w:rPr>
        <w:rFonts w:ascii="Wingdings" w:hAnsi="Wingdings" w:hint="default"/>
      </w:rPr>
    </w:lvl>
    <w:lvl w:ilvl="5" w:tplc="7A605336" w:tentative="1">
      <w:start w:val="1"/>
      <w:numFmt w:val="bullet"/>
      <w:lvlText w:val=""/>
      <w:lvlJc w:val="left"/>
      <w:pPr>
        <w:tabs>
          <w:tab w:val="num" w:pos="4320"/>
        </w:tabs>
        <w:ind w:left="4320" w:hanging="360"/>
      </w:pPr>
      <w:rPr>
        <w:rFonts w:ascii="Wingdings" w:hAnsi="Wingdings" w:hint="default"/>
      </w:rPr>
    </w:lvl>
    <w:lvl w:ilvl="6" w:tplc="C742BD6A" w:tentative="1">
      <w:start w:val="1"/>
      <w:numFmt w:val="bullet"/>
      <w:lvlText w:val=""/>
      <w:lvlJc w:val="left"/>
      <w:pPr>
        <w:tabs>
          <w:tab w:val="num" w:pos="5040"/>
        </w:tabs>
        <w:ind w:left="5040" w:hanging="360"/>
      </w:pPr>
      <w:rPr>
        <w:rFonts w:ascii="Wingdings" w:hAnsi="Wingdings" w:hint="default"/>
      </w:rPr>
    </w:lvl>
    <w:lvl w:ilvl="7" w:tplc="205CEE54" w:tentative="1">
      <w:start w:val="1"/>
      <w:numFmt w:val="bullet"/>
      <w:lvlText w:val=""/>
      <w:lvlJc w:val="left"/>
      <w:pPr>
        <w:tabs>
          <w:tab w:val="num" w:pos="5760"/>
        </w:tabs>
        <w:ind w:left="5760" w:hanging="360"/>
      </w:pPr>
      <w:rPr>
        <w:rFonts w:ascii="Wingdings" w:hAnsi="Wingdings" w:hint="default"/>
      </w:rPr>
    </w:lvl>
    <w:lvl w:ilvl="8" w:tplc="B34CF43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840BD1"/>
    <w:multiLevelType w:val="hybridMultilevel"/>
    <w:tmpl w:val="E7903CB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BCE6046"/>
    <w:multiLevelType w:val="hybridMultilevel"/>
    <w:tmpl w:val="B3E028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D102D6D"/>
    <w:multiLevelType w:val="hybridMultilevel"/>
    <w:tmpl w:val="B3E0282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0162C2F"/>
    <w:multiLevelType w:val="hybridMultilevel"/>
    <w:tmpl w:val="9DB84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9D386D"/>
    <w:multiLevelType w:val="hybridMultilevel"/>
    <w:tmpl w:val="26F877B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A90566"/>
    <w:multiLevelType w:val="hybridMultilevel"/>
    <w:tmpl w:val="6DFCE8EE"/>
    <w:lvl w:ilvl="0" w:tplc="B00C42D6">
      <w:start w:val="1"/>
      <w:numFmt w:val="bullet"/>
      <w:lvlText w:val=""/>
      <w:lvlJc w:val="left"/>
      <w:pPr>
        <w:tabs>
          <w:tab w:val="num" w:pos="720"/>
        </w:tabs>
        <w:ind w:left="720" w:hanging="360"/>
      </w:pPr>
      <w:rPr>
        <w:rFonts w:ascii="Wingdings" w:hAnsi="Wingdings" w:hint="default"/>
      </w:rPr>
    </w:lvl>
    <w:lvl w:ilvl="1" w:tplc="95CAD100">
      <w:start w:val="1"/>
      <w:numFmt w:val="bullet"/>
      <w:lvlText w:val=""/>
      <w:lvlJc w:val="left"/>
      <w:pPr>
        <w:tabs>
          <w:tab w:val="num" w:pos="1440"/>
        </w:tabs>
        <w:ind w:left="1440" w:hanging="360"/>
      </w:pPr>
      <w:rPr>
        <w:rFonts w:ascii="Wingdings" w:hAnsi="Wingdings" w:hint="default"/>
      </w:rPr>
    </w:lvl>
    <w:lvl w:ilvl="2" w:tplc="81FADD62" w:tentative="1">
      <w:start w:val="1"/>
      <w:numFmt w:val="bullet"/>
      <w:lvlText w:val=""/>
      <w:lvlJc w:val="left"/>
      <w:pPr>
        <w:tabs>
          <w:tab w:val="num" w:pos="2160"/>
        </w:tabs>
        <w:ind w:left="2160" w:hanging="360"/>
      </w:pPr>
      <w:rPr>
        <w:rFonts w:ascii="Wingdings" w:hAnsi="Wingdings" w:hint="default"/>
      </w:rPr>
    </w:lvl>
    <w:lvl w:ilvl="3" w:tplc="AB382CD0" w:tentative="1">
      <w:start w:val="1"/>
      <w:numFmt w:val="bullet"/>
      <w:lvlText w:val=""/>
      <w:lvlJc w:val="left"/>
      <w:pPr>
        <w:tabs>
          <w:tab w:val="num" w:pos="2880"/>
        </w:tabs>
        <w:ind w:left="2880" w:hanging="360"/>
      </w:pPr>
      <w:rPr>
        <w:rFonts w:ascii="Wingdings" w:hAnsi="Wingdings" w:hint="default"/>
      </w:rPr>
    </w:lvl>
    <w:lvl w:ilvl="4" w:tplc="6F4C0EB8" w:tentative="1">
      <w:start w:val="1"/>
      <w:numFmt w:val="bullet"/>
      <w:lvlText w:val=""/>
      <w:lvlJc w:val="left"/>
      <w:pPr>
        <w:tabs>
          <w:tab w:val="num" w:pos="3600"/>
        </w:tabs>
        <w:ind w:left="3600" w:hanging="360"/>
      </w:pPr>
      <w:rPr>
        <w:rFonts w:ascii="Wingdings" w:hAnsi="Wingdings" w:hint="default"/>
      </w:rPr>
    </w:lvl>
    <w:lvl w:ilvl="5" w:tplc="24180CFE" w:tentative="1">
      <w:start w:val="1"/>
      <w:numFmt w:val="bullet"/>
      <w:lvlText w:val=""/>
      <w:lvlJc w:val="left"/>
      <w:pPr>
        <w:tabs>
          <w:tab w:val="num" w:pos="4320"/>
        </w:tabs>
        <w:ind w:left="4320" w:hanging="360"/>
      </w:pPr>
      <w:rPr>
        <w:rFonts w:ascii="Wingdings" w:hAnsi="Wingdings" w:hint="default"/>
      </w:rPr>
    </w:lvl>
    <w:lvl w:ilvl="6" w:tplc="B5E8F4F8" w:tentative="1">
      <w:start w:val="1"/>
      <w:numFmt w:val="bullet"/>
      <w:lvlText w:val=""/>
      <w:lvlJc w:val="left"/>
      <w:pPr>
        <w:tabs>
          <w:tab w:val="num" w:pos="5040"/>
        </w:tabs>
        <w:ind w:left="5040" w:hanging="360"/>
      </w:pPr>
      <w:rPr>
        <w:rFonts w:ascii="Wingdings" w:hAnsi="Wingdings" w:hint="default"/>
      </w:rPr>
    </w:lvl>
    <w:lvl w:ilvl="7" w:tplc="73BEC610" w:tentative="1">
      <w:start w:val="1"/>
      <w:numFmt w:val="bullet"/>
      <w:lvlText w:val=""/>
      <w:lvlJc w:val="left"/>
      <w:pPr>
        <w:tabs>
          <w:tab w:val="num" w:pos="5760"/>
        </w:tabs>
        <w:ind w:left="5760" w:hanging="360"/>
      </w:pPr>
      <w:rPr>
        <w:rFonts w:ascii="Wingdings" w:hAnsi="Wingdings" w:hint="default"/>
      </w:rPr>
    </w:lvl>
    <w:lvl w:ilvl="8" w:tplc="D122B83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1A63A7"/>
    <w:multiLevelType w:val="hybridMultilevel"/>
    <w:tmpl w:val="B448D146"/>
    <w:lvl w:ilvl="0" w:tplc="08090001">
      <w:start w:val="1"/>
      <w:numFmt w:val="bullet"/>
      <w:lvlText w:val=""/>
      <w:lvlJc w:val="left"/>
      <w:pPr>
        <w:tabs>
          <w:tab w:val="num" w:pos="720"/>
        </w:tabs>
        <w:ind w:left="720" w:hanging="360"/>
      </w:pPr>
      <w:rPr>
        <w:rFonts w:ascii="Symbol" w:hAnsi="Symbol"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5A69C8"/>
    <w:multiLevelType w:val="hybridMultilevel"/>
    <w:tmpl w:val="B3E02820"/>
    <w:lvl w:ilvl="0" w:tplc="0809000F">
      <w:start w:val="1"/>
      <w:numFmt w:val="decimal"/>
      <w:lvlText w:val="%1."/>
      <w:lvlJc w:val="left"/>
      <w:pPr>
        <w:ind w:left="1144" w:hanging="360"/>
      </w:pPr>
    </w:lvl>
    <w:lvl w:ilvl="1" w:tplc="08090019" w:tentative="1">
      <w:start w:val="1"/>
      <w:numFmt w:val="lowerLetter"/>
      <w:lvlText w:val="%2."/>
      <w:lvlJc w:val="left"/>
      <w:pPr>
        <w:ind w:left="1864" w:hanging="360"/>
      </w:pPr>
    </w:lvl>
    <w:lvl w:ilvl="2" w:tplc="0809001B" w:tentative="1">
      <w:start w:val="1"/>
      <w:numFmt w:val="lowerRoman"/>
      <w:lvlText w:val="%3."/>
      <w:lvlJc w:val="right"/>
      <w:pPr>
        <w:ind w:left="2584" w:hanging="180"/>
      </w:pPr>
    </w:lvl>
    <w:lvl w:ilvl="3" w:tplc="0809000F" w:tentative="1">
      <w:start w:val="1"/>
      <w:numFmt w:val="decimal"/>
      <w:lvlText w:val="%4."/>
      <w:lvlJc w:val="left"/>
      <w:pPr>
        <w:ind w:left="3304" w:hanging="360"/>
      </w:pPr>
    </w:lvl>
    <w:lvl w:ilvl="4" w:tplc="08090019" w:tentative="1">
      <w:start w:val="1"/>
      <w:numFmt w:val="lowerLetter"/>
      <w:lvlText w:val="%5."/>
      <w:lvlJc w:val="left"/>
      <w:pPr>
        <w:ind w:left="4024" w:hanging="360"/>
      </w:pPr>
    </w:lvl>
    <w:lvl w:ilvl="5" w:tplc="0809001B" w:tentative="1">
      <w:start w:val="1"/>
      <w:numFmt w:val="lowerRoman"/>
      <w:lvlText w:val="%6."/>
      <w:lvlJc w:val="right"/>
      <w:pPr>
        <w:ind w:left="4744" w:hanging="180"/>
      </w:pPr>
    </w:lvl>
    <w:lvl w:ilvl="6" w:tplc="0809000F" w:tentative="1">
      <w:start w:val="1"/>
      <w:numFmt w:val="decimal"/>
      <w:lvlText w:val="%7."/>
      <w:lvlJc w:val="left"/>
      <w:pPr>
        <w:ind w:left="5464" w:hanging="360"/>
      </w:pPr>
    </w:lvl>
    <w:lvl w:ilvl="7" w:tplc="08090019" w:tentative="1">
      <w:start w:val="1"/>
      <w:numFmt w:val="lowerLetter"/>
      <w:lvlText w:val="%8."/>
      <w:lvlJc w:val="left"/>
      <w:pPr>
        <w:ind w:left="6184" w:hanging="360"/>
      </w:pPr>
    </w:lvl>
    <w:lvl w:ilvl="8" w:tplc="0809001B" w:tentative="1">
      <w:start w:val="1"/>
      <w:numFmt w:val="lowerRoman"/>
      <w:lvlText w:val="%9."/>
      <w:lvlJc w:val="right"/>
      <w:pPr>
        <w:ind w:left="6904"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3C5071"/>
    <w:multiLevelType w:val="hybridMultilevel"/>
    <w:tmpl w:val="BB80CF3C"/>
    <w:lvl w:ilvl="0" w:tplc="0409000F">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524F3D"/>
    <w:multiLevelType w:val="hybridMultilevel"/>
    <w:tmpl w:val="C47A21C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30C1EEB"/>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7FE5CFD"/>
    <w:multiLevelType w:val="hybridMultilevel"/>
    <w:tmpl w:val="3BC8EEE0"/>
    <w:lvl w:ilvl="0" w:tplc="18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40EF4B67"/>
    <w:multiLevelType w:val="hybridMultilevel"/>
    <w:tmpl w:val="BB80CF3C"/>
    <w:lvl w:ilvl="0" w:tplc="0409000F">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F674E2"/>
    <w:multiLevelType w:val="hybridMultilevel"/>
    <w:tmpl w:val="98E4F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4E45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2901311"/>
    <w:multiLevelType w:val="hybridMultilevel"/>
    <w:tmpl w:val="28BE5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51587D"/>
    <w:multiLevelType w:val="hybridMultilevel"/>
    <w:tmpl w:val="F1B8BCAA"/>
    <w:lvl w:ilvl="0" w:tplc="63588546">
      <w:start w:val="1"/>
      <w:numFmt w:val="bullet"/>
      <w:lvlText w:val=""/>
      <w:lvlJc w:val="left"/>
      <w:pPr>
        <w:tabs>
          <w:tab w:val="num" w:pos="720"/>
        </w:tabs>
        <w:ind w:left="720" w:hanging="360"/>
      </w:pPr>
      <w:rPr>
        <w:rFonts w:ascii="Wingdings" w:hAnsi="Wingdings" w:hint="default"/>
      </w:rPr>
    </w:lvl>
    <w:lvl w:ilvl="1" w:tplc="384639B6">
      <w:start w:val="1"/>
      <w:numFmt w:val="bullet"/>
      <w:lvlText w:val=""/>
      <w:lvlJc w:val="left"/>
      <w:pPr>
        <w:tabs>
          <w:tab w:val="num" w:pos="1440"/>
        </w:tabs>
        <w:ind w:left="1440" w:hanging="360"/>
      </w:pPr>
      <w:rPr>
        <w:rFonts w:ascii="Wingdings" w:hAnsi="Wingdings" w:hint="default"/>
      </w:rPr>
    </w:lvl>
    <w:lvl w:ilvl="2" w:tplc="5BF2E2A4" w:tentative="1">
      <w:start w:val="1"/>
      <w:numFmt w:val="bullet"/>
      <w:lvlText w:val=""/>
      <w:lvlJc w:val="left"/>
      <w:pPr>
        <w:tabs>
          <w:tab w:val="num" w:pos="2160"/>
        </w:tabs>
        <w:ind w:left="2160" w:hanging="360"/>
      </w:pPr>
      <w:rPr>
        <w:rFonts w:ascii="Wingdings" w:hAnsi="Wingdings" w:hint="default"/>
      </w:rPr>
    </w:lvl>
    <w:lvl w:ilvl="3" w:tplc="3A3C797C" w:tentative="1">
      <w:start w:val="1"/>
      <w:numFmt w:val="bullet"/>
      <w:lvlText w:val=""/>
      <w:lvlJc w:val="left"/>
      <w:pPr>
        <w:tabs>
          <w:tab w:val="num" w:pos="2880"/>
        </w:tabs>
        <w:ind w:left="2880" w:hanging="360"/>
      </w:pPr>
      <w:rPr>
        <w:rFonts w:ascii="Wingdings" w:hAnsi="Wingdings" w:hint="default"/>
      </w:rPr>
    </w:lvl>
    <w:lvl w:ilvl="4" w:tplc="053C2FFC" w:tentative="1">
      <w:start w:val="1"/>
      <w:numFmt w:val="bullet"/>
      <w:lvlText w:val=""/>
      <w:lvlJc w:val="left"/>
      <w:pPr>
        <w:tabs>
          <w:tab w:val="num" w:pos="3600"/>
        </w:tabs>
        <w:ind w:left="3600" w:hanging="360"/>
      </w:pPr>
      <w:rPr>
        <w:rFonts w:ascii="Wingdings" w:hAnsi="Wingdings" w:hint="default"/>
      </w:rPr>
    </w:lvl>
    <w:lvl w:ilvl="5" w:tplc="363AC390" w:tentative="1">
      <w:start w:val="1"/>
      <w:numFmt w:val="bullet"/>
      <w:lvlText w:val=""/>
      <w:lvlJc w:val="left"/>
      <w:pPr>
        <w:tabs>
          <w:tab w:val="num" w:pos="4320"/>
        </w:tabs>
        <w:ind w:left="4320" w:hanging="360"/>
      </w:pPr>
      <w:rPr>
        <w:rFonts w:ascii="Wingdings" w:hAnsi="Wingdings" w:hint="default"/>
      </w:rPr>
    </w:lvl>
    <w:lvl w:ilvl="6" w:tplc="FBB6040E" w:tentative="1">
      <w:start w:val="1"/>
      <w:numFmt w:val="bullet"/>
      <w:lvlText w:val=""/>
      <w:lvlJc w:val="left"/>
      <w:pPr>
        <w:tabs>
          <w:tab w:val="num" w:pos="5040"/>
        </w:tabs>
        <w:ind w:left="5040" w:hanging="360"/>
      </w:pPr>
      <w:rPr>
        <w:rFonts w:ascii="Wingdings" w:hAnsi="Wingdings" w:hint="default"/>
      </w:rPr>
    </w:lvl>
    <w:lvl w:ilvl="7" w:tplc="C7D4AD02" w:tentative="1">
      <w:start w:val="1"/>
      <w:numFmt w:val="bullet"/>
      <w:lvlText w:val=""/>
      <w:lvlJc w:val="left"/>
      <w:pPr>
        <w:tabs>
          <w:tab w:val="num" w:pos="5760"/>
        </w:tabs>
        <w:ind w:left="5760" w:hanging="360"/>
      </w:pPr>
      <w:rPr>
        <w:rFonts w:ascii="Wingdings" w:hAnsi="Wingdings" w:hint="default"/>
      </w:rPr>
    </w:lvl>
    <w:lvl w:ilvl="8" w:tplc="ACEA1AF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AC5C21"/>
    <w:multiLevelType w:val="hybridMultilevel"/>
    <w:tmpl w:val="A67090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CBF66EF"/>
    <w:multiLevelType w:val="hybridMultilevel"/>
    <w:tmpl w:val="50DC6CCA"/>
    <w:lvl w:ilvl="0" w:tplc="F2D442B2">
      <w:start w:val="1"/>
      <w:numFmt w:val="bullet"/>
      <w:lvlText w:val=""/>
      <w:lvlJc w:val="left"/>
      <w:pPr>
        <w:tabs>
          <w:tab w:val="num" w:pos="720"/>
        </w:tabs>
        <w:ind w:left="720" w:hanging="360"/>
      </w:pPr>
      <w:rPr>
        <w:rFonts w:ascii="Wingdings" w:hAnsi="Wingdings" w:hint="default"/>
      </w:rPr>
    </w:lvl>
    <w:lvl w:ilvl="1" w:tplc="3A88F8AA">
      <w:start w:val="1"/>
      <w:numFmt w:val="bullet"/>
      <w:lvlText w:val=""/>
      <w:lvlJc w:val="left"/>
      <w:pPr>
        <w:tabs>
          <w:tab w:val="num" w:pos="1440"/>
        </w:tabs>
        <w:ind w:left="1440" w:hanging="360"/>
      </w:pPr>
      <w:rPr>
        <w:rFonts w:ascii="Wingdings" w:hAnsi="Wingdings" w:hint="default"/>
      </w:rPr>
    </w:lvl>
    <w:lvl w:ilvl="2" w:tplc="360CEB38">
      <w:start w:val="184"/>
      <w:numFmt w:val="bullet"/>
      <w:lvlText w:val="–"/>
      <w:lvlJc w:val="left"/>
      <w:pPr>
        <w:tabs>
          <w:tab w:val="num" w:pos="2160"/>
        </w:tabs>
        <w:ind w:left="2160" w:hanging="360"/>
      </w:pPr>
      <w:rPr>
        <w:rFonts w:ascii="Intel Clear" w:hAnsi="Intel Clear" w:hint="default"/>
      </w:rPr>
    </w:lvl>
    <w:lvl w:ilvl="3" w:tplc="58D67312" w:tentative="1">
      <w:start w:val="1"/>
      <w:numFmt w:val="bullet"/>
      <w:lvlText w:val=""/>
      <w:lvlJc w:val="left"/>
      <w:pPr>
        <w:tabs>
          <w:tab w:val="num" w:pos="2880"/>
        </w:tabs>
        <w:ind w:left="2880" w:hanging="360"/>
      </w:pPr>
      <w:rPr>
        <w:rFonts w:ascii="Wingdings" w:hAnsi="Wingdings" w:hint="default"/>
      </w:rPr>
    </w:lvl>
    <w:lvl w:ilvl="4" w:tplc="F72E5490" w:tentative="1">
      <w:start w:val="1"/>
      <w:numFmt w:val="bullet"/>
      <w:lvlText w:val=""/>
      <w:lvlJc w:val="left"/>
      <w:pPr>
        <w:tabs>
          <w:tab w:val="num" w:pos="3600"/>
        </w:tabs>
        <w:ind w:left="3600" w:hanging="360"/>
      </w:pPr>
      <w:rPr>
        <w:rFonts w:ascii="Wingdings" w:hAnsi="Wingdings" w:hint="default"/>
      </w:rPr>
    </w:lvl>
    <w:lvl w:ilvl="5" w:tplc="70BC626A" w:tentative="1">
      <w:start w:val="1"/>
      <w:numFmt w:val="bullet"/>
      <w:lvlText w:val=""/>
      <w:lvlJc w:val="left"/>
      <w:pPr>
        <w:tabs>
          <w:tab w:val="num" w:pos="4320"/>
        </w:tabs>
        <w:ind w:left="4320" w:hanging="360"/>
      </w:pPr>
      <w:rPr>
        <w:rFonts w:ascii="Wingdings" w:hAnsi="Wingdings" w:hint="default"/>
      </w:rPr>
    </w:lvl>
    <w:lvl w:ilvl="6" w:tplc="ED520DBC" w:tentative="1">
      <w:start w:val="1"/>
      <w:numFmt w:val="bullet"/>
      <w:lvlText w:val=""/>
      <w:lvlJc w:val="left"/>
      <w:pPr>
        <w:tabs>
          <w:tab w:val="num" w:pos="5040"/>
        </w:tabs>
        <w:ind w:left="5040" w:hanging="360"/>
      </w:pPr>
      <w:rPr>
        <w:rFonts w:ascii="Wingdings" w:hAnsi="Wingdings" w:hint="default"/>
      </w:rPr>
    </w:lvl>
    <w:lvl w:ilvl="7" w:tplc="2556D946" w:tentative="1">
      <w:start w:val="1"/>
      <w:numFmt w:val="bullet"/>
      <w:lvlText w:val=""/>
      <w:lvlJc w:val="left"/>
      <w:pPr>
        <w:tabs>
          <w:tab w:val="num" w:pos="5760"/>
        </w:tabs>
        <w:ind w:left="5760" w:hanging="360"/>
      </w:pPr>
      <w:rPr>
        <w:rFonts w:ascii="Wingdings" w:hAnsi="Wingdings" w:hint="default"/>
      </w:rPr>
    </w:lvl>
    <w:lvl w:ilvl="8" w:tplc="CB5C31E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97049B"/>
    <w:multiLevelType w:val="hybridMultilevel"/>
    <w:tmpl w:val="C0AC2AE0"/>
    <w:lvl w:ilvl="0" w:tplc="08090001">
      <w:start w:val="1"/>
      <w:numFmt w:val="bullet"/>
      <w:lvlText w:val=""/>
      <w:lvlJc w:val="left"/>
      <w:pPr>
        <w:ind w:left="1144" w:hanging="360"/>
      </w:pPr>
      <w:rPr>
        <w:rFonts w:ascii="Symbol" w:hAnsi="Symbol" w:hint="default"/>
      </w:rPr>
    </w:lvl>
    <w:lvl w:ilvl="1" w:tplc="08090003">
      <w:start w:val="1"/>
      <w:numFmt w:val="bullet"/>
      <w:lvlText w:val="o"/>
      <w:lvlJc w:val="left"/>
      <w:pPr>
        <w:ind w:left="1864" w:hanging="360"/>
      </w:pPr>
      <w:rPr>
        <w:rFonts w:ascii="Courier New" w:hAnsi="Courier New" w:cs="Courier New" w:hint="default"/>
      </w:rPr>
    </w:lvl>
    <w:lvl w:ilvl="2" w:tplc="08090005">
      <w:start w:val="1"/>
      <w:numFmt w:val="bullet"/>
      <w:lvlText w:val=""/>
      <w:lvlJc w:val="left"/>
      <w:pPr>
        <w:ind w:left="2584" w:hanging="360"/>
      </w:pPr>
      <w:rPr>
        <w:rFonts w:ascii="Wingdings" w:hAnsi="Wingdings" w:hint="default"/>
      </w:rPr>
    </w:lvl>
    <w:lvl w:ilvl="3" w:tplc="08090001" w:tentative="1">
      <w:start w:val="1"/>
      <w:numFmt w:val="bullet"/>
      <w:lvlText w:val=""/>
      <w:lvlJc w:val="left"/>
      <w:pPr>
        <w:ind w:left="3304" w:hanging="360"/>
      </w:pPr>
      <w:rPr>
        <w:rFonts w:ascii="Symbol" w:hAnsi="Symbol" w:hint="default"/>
      </w:rPr>
    </w:lvl>
    <w:lvl w:ilvl="4" w:tplc="08090003" w:tentative="1">
      <w:start w:val="1"/>
      <w:numFmt w:val="bullet"/>
      <w:lvlText w:val="o"/>
      <w:lvlJc w:val="left"/>
      <w:pPr>
        <w:ind w:left="4024" w:hanging="360"/>
      </w:pPr>
      <w:rPr>
        <w:rFonts w:ascii="Courier New" w:hAnsi="Courier New" w:cs="Courier New" w:hint="default"/>
      </w:rPr>
    </w:lvl>
    <w:lvl w:ilvl="5" w:tplc="08090005" w:tentative="1">
      <w:start w:val="1"/>
      <w:numFmt w:val="bullet"/>
      <w:lvlText w:val=""/>
      <w:lvlJc w:val="left"/>
      <w:pPr>
        <w:ind w:left="4744" w:hanging="360"/>
      </w:pPr>
      <w:rPr>
        <w:rFonts w:ascii="Wingdings" w:hAnsi="Wingdings" w:hint="default"/>
      </w:rPr>
    </w:lvl>
    <w:lvl w:ilvl="6" w:tplc="08090001" w:tentative="1">
      <w:start w:val="1"/>
      <w:numFmt w:val="bullet"/>
      <w:lvlText w:val=""/>
      <w:lvlJc w:val="left"/>
      <w:pPr>
        <w:ind w:left="5464" w:hanging="360"/>
      </w:pPr>
      <w:rPr>
        <w:rFonts w:ascii="Symbol" w:hAnsi="Symbol" w:hint="default"/>
      </w:rPr>
    </w:lvl>
    <w:lvl w:ilvl="7" w:tplc="08090003" w:tentative="1">
      <w:start w:val="1"/>
      <w:numFmt w:val="bullet"/>
      <w:lvlText w:val="o"/>
      <w:lvlJc w:val="left"/>
      <w:pPr>
        <w:ind w:left="6184" w:hanging="360"/>
      </w:pPr>
      <w:rPr>
        <w:rFonts w:ascii="Courier New" w:hAnsi="Courier New" w:cs="Courier New" w:hint="default"/>
      </w:rPr>
    </w:lvl>
    <w:lvl w:ilvl="8" w:tplc="08090005" w:tentative="1">
      <w:start w:val="1"/>
      <w:numFmt w:val="bullet"/>
      <w:lvlText w:val=""/>
      <w:lvlJc w:val="left"/>
      <w:pPr>
        <w:ind w:left="6904" w:hanging="360"/>
      </w:pPr>
      <w:rPr>
        <w:rFonts w:ascii="Wingdings" w:hAnsi="Wingdings" w:hint="default"/>
      </w:rPr>
    </w:lvl>
  </w:abstractNum>
  <w:abstractNum w:abstractNumId="33" w15:restartNumberingAfterBreak="0">
    <w:nsid w:val="5EEA072D"/>
    <w:multiLevelType w:val="hybridMultilevel"/>
    <w:tmpl w:val="BB80CF3C"/>
    <w:lvl w:ilvl="0" w:tplc="0409000F">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1F03D6"/>
    <w:multiLevelType w:val="hybridMultilevel"/>
    <w:tmpl w:val="91D88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76172D"/>
    <w:multiLevelType w:val="hybridMultilevel"/>
    <w:tmpl w:val="C0D684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6842E85"/>
    <w:multiLevelType w:val="hybridMultilevel"/>
    <w:tmpl w:val="43B870DC"/>
    <w:lvl w:ilvl="0" w:tplc="5C28E0B0">
      <w:start w:val="1"/>
      <w:numFmt w:val="decimal"/>
      <w:lvlText w:val="%1)"/>
      <w:lvlJc w:val="left"/>
      <w:pPr>
        <w:ind w:left="1620" w:hanging="360"/>
      </w:pPr>
      <w:rPr>
        <w:rFonts w:hint="default"/>
      </w:rPr>
    </w:lvl>
    <w:lvl w:ilvl="1" w:tplc="18090019" w:tentative="1">
      <w:start w:val="1"/>
      <w:numFmt w:val="lowerLetter"/>
      <w:lvlText w:val="%2."/>
      <w:lvlJc w:val="left"/>
      <w:pPr>
        <w:ind w:left="2340" w:hanging="360"/>
      </w:pPr>
    </w:lvl>
    <w:lvl w:ilvl="2" w:tplc="1809001B" w:tentative="1">
      <w:start w:val="1"/>
      <w:numFmt w:val="lowerRoman"/>
      <w:lvlText w:val="%3."/>
      <w:lvlJc w:val="right"/>
      <w:pPr>
        <w:ind w:left="3060" w:hanging="180"/>
      </w:pPr>
    </w:lvl>
    <w:lvl w:ilvl="3" w:tplc="1809000F" w:tentative="1">
      <w:start w:val="1"/>
      <w:numFmt w:val="decimal"/>
      <w:lvlText w:val="%4."/>
      <w:lvlJc w:val="left"/>
      <w:pPr>
        <w:ind w:left="3780" w:hanging="360"/>
      </w:pPr>
    </w:lvl>
    <w:lvl w:ilvl="4" w:tplc="18090019" w:tentative="1">
      <w:start w:val="1"/>
      <w:numFmt w:val="lowerLetter"/>
      <w:lvlText w:val="%5."/>
      <w:lvlJc w:val="left"/>
      <w:pPr>
        <w:ind w:left="4500" w:hanging="360"/>
      </w:pPr>
    </w:lvl>
    <w:lvl w:ilvl="5" w:tplc="1809001B" w:tentative="1">
      <w:start w:val="1"/>
      <w:numFmt w:val="lowerRoman"/>
      <w:lvlText w:val="%6."/>
      <w:lvlJc w:val="right"/>
      <w:pPr>
        <w:ind w:left="5220" w:hanging="180"/>
      </w:pPr>
    </w:lvl>
    <w:lvl w:ilvl="6" w:tplc="1809000F" w:tentative="1">
      <w:start w:val="1"/>
      <w:numFmt w:val="decimal"/>
      <w:lvlText w:val="%7."/>
      <w:lvlJc w:val="left"/>
      <w:pPr>
        <w:ind w:left="5940" w:hanging="360"/>
      </w:pPr>
    </w:lvl>
    <w:lvl w:ilvl="7" w:tplc="18090019" w:tentative="1">
      <w:start w:val="1"/>
      <w:numFmt w:val="lowerLetter"/>
      <w:lvlText w:val="%8."/>
      <w:lvlJc w:val="left"/>
      <w:pPr>
        <w:ind w:left="6660" w:hanging="360"/>
      </w:pPr>
    </w:lvl>
    <w:lvl w:ilvl="8" w:tplc="1809001B" w:tentative="1">
      <w:start w:val="1"/>
      <w:numFmt w:val="lowerRoman"/>
      <w:lvlText w:val="%9."/>
      <w:lvlJc w:val="right"/>
      <w:pPr>
        <w:ind w:left="7380" w:hanging="180"/>
      </w:pPr>
    </w:lvl>
  </w:abstractNum>
  <w:abstractNum w:abstractNumId="37" w15:restartNumberingAfterBreak="0">
    <w:nsid w:val="693449D6"/>
    <w:multiLevelType w:val="hybridMultilevel"/>
    <w:tmpl w:val="9F3C452E"/>
    <w:lvl w:ilvl="0" w:tplc="525E64B0">
      <w:start w:val="1"/>
      <w:numFmt w:val="bullet"/>
      <w:lvlText w:val=""/>
      <w:lvlJc w:val="left"/>
      <w:pPr>
        <w:tabs>
          <w:tab w:val="num" w:pos="720"/>
        </w:tabs>
        <w:ind w:left="720" w:hanging="360"/>
      </w:pPr>
      <w:rPr>
        <w:rFonts w:ascii="Wingdings" w:hAnsi="Wingdings" w:hint="default"/>
      </w:rPr>
    </w:lvl>
    <w:lvl w:ilvl="1" w:tplc="0B8665E8">
      <w:start w:val="1"/>
      <w:numFmt w:val="bullet"/>
      <w:lvlText w:val=""/>
      <w:lvlJc w:val="left"/>
      <w:pPr>
        <w:tabs>
          <w:tab w:val="num" w:pos="1440"/>
        </w:tabs>
        <w:ind w:left="1440" w:hanging="360"/>
      </w:pPr>
      <w:rPr>
        <w:rFonts w:ascii="Wingdings" w:hAnsi="Wingdings" w:hint="default"/>
      </w:rPr>
    </w:lvl>
    <w:lvl w:ilvl="2" w:tplc="D0E8F882" w:tentative="1">
      <w:start w:val="1"/>
      <w:numFmt w:val="bullet"/>
      <w:lvlText w:val=""/>
      <w:lvlJc w:val="left"/>
      <w:pPr>
        <w:tabs>
          <w:tab w:val="num" w:pos="2160"/>
        </w:tabs>
        <w:ind w:left="2160" w:hanging="360"/>
      </w:pPr>
      <w:rPr>
        <w:rFonts w:ascii="Wingdings" w:hAnsi="Wingdings" w:hint="default"/>
      </w:rPr>
    </w:lvl>
    <w:lvl w:ilvl="3" w:tplc="1A44E53C" w:tentative="1">
      <w:start w:val="1"/>
      <w:numFmt w:val="bullet"/>
      <w:lvlText w:val=""/>
      <w:lvlJc w:val="left"/>
      <w:pPr>
        <w:tabs>
          <w:tab w:val="num" w:pos="2880"/>
        </w:tabs>
        <w:ind w:left="2880" w:hanging="360"/>
      </w:pPr>
      <w:rPr>
        <w:rFonts w:ascii="Wingdings" w:hAnsi="Wingdings" w:hint="default"/>
      </w:rPr>
    </w:lvl>
    <w:lvl w:ilvl="4" w:tplc="E3443AC0" w:tentative="1">
      <w:start w:val="1"/>
      <w:numFmt w:val="bullet"/>
      <w:lvlText w:val=""/>
      <w:lvlJc w:val="left"/>
      <w:pPr>
        <w:tabs>
          <w:tab w:val="num" w:pos="3600"/>
        </w:tabs>
        <w:ind w:left="3600" w:hanging="360"/>
      </w:pPr>
      <w:rPr>
        <w:rFonts w:ascii="Wingdings" w:hAnsi="Wingdings" w:hint="default"/>
      </w:rPr>
    </w:lvl>
    <w:lvl w:ilvl="5" w:tplc="4182642C" w:tentative="1">
      <w:start w:val="1"/>
      <w:numFmt w:val="bullet"/>
      <w:lvlText w:val=""/>
      <w:lvlJc w:val="left"/>
      <w:pPr>
        <w:tabs>
          <w:tab w:val="num" w:pos="4320"/>
        </w:tabs>
        <w:ind w:left="4320" w:hanging="360"/>
      </w:pPr>
      <w:rPr>
        <w:rFonts w:ascii="Wingdings" w:hAnsi="Wingdings" w:hint="default"/>
      </w:rPr>
    </w:lvl>
    <w:lvl w:ilvl="6" w:tplc="88EAD8AA" w:tentative="1">
      <w:start w:val="1"/>
      <w:numFmt w:val="bullet"/>
      <w:lvlText w:val=""/>
      <w:lvlJc w:val="left"/>
      <w:pPr>
        <w:tabs>
          <w:tab w:val="num" w:pos="5040"/>
        </w:tabs>
        <w:ind w:left="5040" w:hanging="360"/>
      </w:pPr>
      <w:rPr>
        <w:rFonts w:ascii="Wingdings" w:hAnsi="Wingdings" w:hint="default"/>
      </w:rPr>
    </w:lvl>
    <w:lvl w:ilvl="7" w:tplc="918A077C" w:tentative="1">
      <w:start w:val="1"/>
      <w:numFmt w:val="bullet"/>
      <w:lvlText w:val=""/>
      <w:lvlJc w:val="left"/>
      <w:pPr>
        <w:tabs>
          <w:tab w:val="num" w:pos="5760"/>
        </w:tabs>
        <w:ind w:left="5760" w:hanging="360"/>
      </w:pPr>
      <w:rPr>
        <w:rFonts w:ascii="Wingdings" w:hAnsi="Wingdings" w:hint="default"/>
      </w:rPr>
    </w:lvl>
    <w:lvl w:ilvl="8" w:tplc="75F0E67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B450180"/>
    <w:multiLevelType w:val="hybridMultilevel"/>
    <w:tmpl w:val="90989D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9223E1"/>
    <w:multiLevelType w:val="hybridMultilevel"/>
    <w:tmpl w:val="701EB00E"/>
    <w:lvl w:ilvl="0" w:tplc="BD480C20">
      <w:start w:val="1"/>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4436B4"/>
    <w:multiLevelType w:val="hybridMultilevel"/>
    <w:tmpl w:val="8A0A1E46"/>
    <w:lvl w:ilvl="0" w:tplc="0D2493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6010439">
    <w:abstractNumId w:val="19"/>
  </w:num>
  <w:num w:numId="2" w16cid:durableId="1968006458">
    <w:abstractNumId w:val="21"/>
  </w:num>
  <w:num w:numId="3" w16cid:durableId="1036002730">
    <w:abstractNumId w:val="1"/>
  </w:num>
  <w:num w:numId="4" w16cid:durableId="912589606">
    <w:abstractNumId w:val="41"/>
  </w:num>
  <w:num w:numId="5" w16cid:durableId="1778330436">
    <w:abstractNumId w:val="8"/>
  </w:num>
  <w:num w:numId="6" w16cid:durableId="2759138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0168233">
    <w:abstractNumId w:val="14"/>
  </w:num>
  <w:num w:numId="8" w16cid:durableId="848523195">
    <w:abstractNumId w:val="2"/>
  </w:num>
  <w:num w:numId="9" w16cid:durableId="598028937">
    <w:abstractNumId w:val="23"/>
  </w:num>
  <w:num w:numId="10" w16cid:durableId="1697735170">
    <w:abstractNumId w:val="39"/>
  </w:num>
  <w:num w:numId="11" w16cid:durableId="967130191">
    <w:abstractNumId w:val="7"/>
  </w:num>
  <w:num w:numId="12" w16cid:durableId="1704595679">
    <w:abstractNumId w:val="17"/>
  </w:num>
  <w:num w:numId="13" w16cid:durableId="1723628068">
    <w:abstractNumId w:val="28"/>
  </w:num>
  <w:num w:numId="14" w16cid:durableId="378749527">
    <w:abstractNumId w:val="29"/>
  </w:num>
  <w:num w:numId="15" w16cid:durableId="1366252791">
    <w:abstractNumId w:val="31"/>
  </w:num>
  <w:num w:numId="16" w16cid:durableId="662661440">
    <w:abstractNumId w:val="15"/>
  </w:num>
  <w:num w:numId="17" w16cid:durableId="2094430999">
    <w:abstractNumId w:val="6"/>
  </w:num>
  <w:num w:numId="18" w16cid:durableId="2085565255">
    <w:abstractNumId w:val="9"/>
  </w:num>
  <w:num w:numId="19" w16cid:durableId="2071071515">
    <w:abstractNumId w:val="16"/>
  </w:num>
  <w:num w:numId="20" w16cid:durableId="822889961">
    <w:abstractNumId w:val="37"/>
  </w:num>
  <w:num w:numId="21" w16cid:durableId="438254139">
    <w:abstractNumId w:val="20"/>
  </w:num>
  <w:num w:numId="22" w16cid:durableId="907612562">
    <w:abstractNumId w:val="33"/>
  </w:num>
  <w:num w:numId="23" w16cid:durableId="1076702529">
    <w:abstractNumId w:val="12"/>
  </w:num>
  <w:num w:numId="24" w16cid:durableId="1371956784">
    <w:abstractNumId w:val="18"/>
  </w:num>
  <w:num w:numId="25" w16cid:durableId="125200375">
    <w:abstractNumId w:val="32"/>
  </w:num>
  <w:num w:numId="26" w16cid:durableId="1207790640">
    <w:abstractNumId w:val="11"/>
  </w:num>
  <w:num w:numId="27" w16cid:durableId="700666800">
    <w:abstractNumId w:val="25"/>
  </w:num>
  <w:num w:numId="28" w16cid:durableId="1296957754">
    <w:abstractNumId w:val="22"/>
  </w:num>
  <w:num w:numId="29" w16cid:durableId="811215531">
    <w:abstractNumId w:val="42"/>
  </w:num>
  <w:num w:numId="30" w16cid:durableId="499154601">
    <w:abstractNumId w:val="30"/>
  </w:num>
  <w:num w:numId="31" w16cid:durableId="1884293133">
    <w:abstractNumId w:val="38"/>
  </w:num>
  <w:num w:numId="32" w16cid:durableId="2020696436">
    <w:abstractNumId w:val="23"/>
  </w:num>
  <w:num w:numId="33" w16cid:durableId="2043020853">
    <w:abstractNumId w:val="27"/>
  </w:num>
  <w:num w:numId="34" w16cid:durableId="1459255680">
    <w:abstractNumId w:val="34"/>
  </w:num>
  <w:num w:numId="35" w16cid:durableId="146678066">
    <w:abstractNumId w:val="40"/>
  </w:num>
  <w:num w:numId="36" w16cid:durableId="928662080">
    <w:abstractNumId w:val="5"/>
  </w:num>
  <w:num w:numId="37" w16cid:durableId="1214468947">
    <w:abstractNumId w:val="10"/>
  </w:num>
  <w:num w:numId="38" w16cid:durableId="1297953331">
    <w:abstractNumId w:val="24"/>
  </w:num>
  <w:num w:numId="39" w16cid:durableId="303700942">
    <w:abstractNumId w:val="4"/>
  </w:num>
  <w:num w:numId="40" w16cid:durableId="1534074516">
    <w:abstractNumId w:val="3"/>
  </w:num>
  <w:num w:numId="41" w16cid:durableId="1276869238">
    <w:abstractNumId w:val="36"/>
  </w:num>
  <w:num w:numId="42" w16cid:durableId="1255631917">
    <w:abstractNumId w:val="35"/>
  </w:num>
  <w:num w:numId="43" w16cid:durableId="2109538398">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458"/>
    <w:rsid w:val="00001FC3"/>
    <w:rsid w:val="00002375"/>
    <w:rsid w:val="00002459"/>
    <w:rsid w:val="00003131"/>
    <w:rsid w:val="00003135"/>
    <w:rsid w:val="000031AB"/>
    <w:rsid w:val="00003772"/>
    <w:rsid w:val="000037FB"/>
    <w:rsid w:val="00004885"/>
    <w:rsid w:val="00004CD0"/>
    <w:rsid w:val="00004D8C"/>
    <w:rsid w:val="00004DCB"/>
    <w:rsid w:val="000051F0"/>
    <w:rsid w:val="00005327"/>
    <w:rsid w:val="0000553B"/>
    <w:rsid w:val="0000660A"/>
    <w:rsid w:val="00006780"/>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A47"/>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3F8"/>
    <w:rsid w:val="00016DCE"/>
    <w:rsid w:val="00016DDC"/>
    <w:rsid w:val="00016EF9"/>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1C"/>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2EAC"/>
    <w:rsid w:val="00033224"/>
    <w:rsid w:val="000334D2"/>
    <w:rsid w:val="00033834"/>
    <w:rsid w:val="00033A55"/>
    <w:rsid w:val="00033AE8"/>
    <w:rsid w:val="00033E5C"/>
    <w:rsid w:val="00034698"/>
    <w:rsid w:val="00034787"/>
    <w:rsid w:val="00034964"/>
    <w:rsid w:val="000349B7"/>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A9D"/>
    <w:rsid w:val="00042BFC"/>
    <w:rsid w:val="000430CF"/>
    <w:rsid w:val="00043303"/>
    <w:rsid w:val="00043607"/>
    <w:rsid w:val="00043703"/>
    <w:rsid w:val="0004403C"/>
    <w:rsid w:val="00044225"/>
    <w:rsid w:val="00044359"/>
    <w:rsid w:val="000444AD"/>
    <w:rsid w:val="00044576"/>
    <w:rsid w:val="000445D6"/>
    <w:rsid w:val="00044FC4"/>
    <w:rsid w:val="00044FDD"/>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208"/>
    <w:rsid w:val="000525B6"/>
    <w:rsid w:val="000528EA"/>
    <w:rsid w:val="0005291A"/>
    <w:rsid w:val="00052AE3"/>
    <w:rsid w:val="00052C5E"/>
    <w:rsid w:val="000531A8"/>
    <w:rsid w:val="0005330B"/>
    <w:rsid w:val="0005382E"/>
    <w:rsid w:val="00053849"/>
    <w:rsid w:val="00053A47"/>
    <w:rsid w:val="00053F58"/>
    <w:rsid w:val="0005456E"/>
    <w:rsid w:val="00054614"/>
    <w:rsid w:val="0005468A"/>
    <w:rsid w:val="00054A5B"/>
    <w:rsid w:val="00054ACE"/>
    <w:rsid w:val="00054AD7"/>
    <w:rsid w:val="00054AD9"/>
    <w:rsid w:val="00054DAB"/>
    <w:rsid w:val="00054E63"/>
    <w:rsid w:val="0005504C"/>
    <w:rsid w:val="00055873"/>
    <w:rsid w:val="00055A96"/>
    <w:rsid w:val="00055B03"/>
    <w:rsid w:val="00055B8E"/>
    <w:rsid w:val="0005602E"/>
    <w:rsid w:val="00056057"/>
    <w:rsid w:val="00056768"/>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1EBD"/>
    <w:rsid w:val="000621A9"/>
    <w:rsid w:val="0006263A"/>
    <w:rsid w:val="00063485"/>
    <w:rsid w:val="00063CA3"/>
    <w:rsid w:val="00063F57"/>
    <w:rsid w:val="0006436D"/>
    <w:rsid w:val="0006480B"/>
    <w:rsid w:val="00064A18"/>
    <w:rsid w:val="00064A2B"/>
    <w:rsid w:val="0006532C"/>
    <w:rsid w:val="0006549C"/>
    <w:rsid w:val="00065636"/>
    <w:rsid w:val="00065D64"/>
    <w:rsid w:val="00066635"/>
    <w:rsid w:val="000667D1"/>
    <w:rsid w:val="00066E05"/>
    <w:rsid w:val="00067087"/>
    <w:rsid w:val="000671F8"/>
    <w:rsid w:val="0006739D"/>
    <w:rsid w:val="00067436"/>
    <w:rsid w:val="000674DD"/>
    <w:rsid w:val="0006777C"/>
    <w:rsid w:val="00067FE2"/>
    <w:rsid w:val="00070237"/>
    <w:rsid w:val="00070378"/>
    <w:rsid w:val="0007118F"/>
    <w:rsid w:val="000711FC"/>
    <w:rsid w:val="000715B6"/>
    <w:rsid w:val="000716FB"/>
    <w:rsid w:val="00071E66"/>
    <w:rsid w:val="00071E9B"/>
    <w:rsid w:val="00071F99"/>
    <w:rsid w:val="000727D5"/>
    <w:rsid w:val="00072885"/>
    <w:rsid w:val="00072E75"/>
    <w:rsid w:val="00072EFA"/>
    <w:rsid w:val="00073219"/>
    <w:rsid w:val="00073785"/>
    <w:rsid w:val="00074375"/>
    <w:rsid w:val="000743A0"/>
    <w:rsid w:val="0007477C"/>
    <w:rsid w:val="000748A2"/>
    <w:rsid w:val="00074A66"/>
    <w:rsid w:val="00074BF5"/>
    <w:rsid w:val="000752CD"/>
    <w:rsid w:val="00075680"/>
    <w:rsid w:val="0007590A"/>
    <w:rsid w:val="00075999"/>
    <w:rsid w:val="00075FE3"/>
    <w:rsid w:val="000762CD"/>
    <w:rsid w:val="00076775"/>
    <w:rsid w:val="00076D63"/>
    <w:rsid w:val="00077579"/>
    <w:rsid w:val="00077A78"/>
    <w:rsid w:val="00080170"/>
    <w:rsid w:val="000805B2"/>
    <w:rsid w:val="00080786"/>
    <w:rsid w:val="00080D74"/>
    <w:rsid w:val="00082152"/>
    <w:rsid w:val="000826FF"/>
    <w:rsid w:val="00082A49"/>
    <w:rsid w:val="00082C27"/>
    <w:rsid w:val="00082DA4"/>
    <w:rsid w:val="00082E54"/>
    <w:rsid w:val="000832B3"/>
    <w:rsid w:val="00083322"/>
    <w:rsid w:val="000833CA"/>
    <w:rsid w:val="00083788"/>
    <w:rsid w:val="00084255"/>
    <w:rsid w:val="00084937"/>
    <w:rsid w:val="00085239"/>
    <w:rsid w:val="000861E4"/>
    <w:rsid w:val="000862BA"/>
    <w:rsid w:val="00086B50"/>
    <w:rsid w:val="00086C4D"/>
    <w:rsid w:val="00086CF2"/>
    <w:rsid w:val="0008731C"/>
    <w:rsid w:val="0008760B"/>
    <w:rsid w:val="00087881"/>
    <w:rsid w:val="00087B3F"/>
    <w:rsid w:val="00087BAB"/>
    <w:rsid w:val="00087E29"/>
    <w:rsid w:val="00087F91"/>
    <w:rsid w:val="00090573"/>
    <w:rsid w:val="00090586"/>
    <w:rsid w:val="00090653"/>
    <w:rsid w:val="00090A5D"/>
    <w:rsid w:val="00091714"/>
    <w:rsid w:val="000921E3"/>
    <w:rsid w:val="00092334"/>
    <w:rsid w:val="00092BEB"/>
    <w:rsid w:val="000931C3"/>
    <w:rsid w:val="000934BF"/>
    <w:rsid w:val="000938A0"/>
    <w:rsid w:val="00093B72"/>
    <w:rsid w:val="0009437A"/>
    <w:rsid w:val="000947B7"/>
    <w:rsid w:val="00095671"/>
    <w:rsid w:val="00095920"/>
    <w:rsid w:val="00095F53"/>
    <w:rsid w:val="0009612D"/>
    <w:rsid w:val="0009642D"/>
    <w:rsid w:val="0009653B"/>
    <w:rsid w:val="000965E2"/>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0C15"/>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994"/>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206C"/>
    <w:rsid w:val="000D23C1"/>
    <w:rsid w:val="000D2AE0"/>
    <w:rsid w:val="000D2EA5"/>
    <w:rsid w:val="000D35D4"/>
    <w:rsid w:val="000D362A"/>
    <w:rsid w:val="000D37FA"/>
    <w:rsid w:val="000D3A33"/>
    <w:rsid w:val="000D3A6C"/>
    <w:rsid w:val="000D4324"/>
    <w:rsid w:val="000D43EA"/>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AFE"/>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6F71"/>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5A9"/>
    <w:rsid w:val="000F5F71"/>
    <w:rsid w:val="000F61C4"/>
    <w:rsid w:val="000F6244"/>
    <w:rsid w:val="000F6646"/>
    <w:rsid w:val="000F6881"/>
    <w:rsid w:val="000F6C32"/>
    <w:rsid w:val="000F6FF9"/>
    <w:rsid w:val="000F71FE"/>
    <w:rsid w:val="000F77C9"/>
    <w:rsid w:val="000F7D03"/>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6D70"/>
    <w:rsid w:val="00117957"/>
    <w:rsid w:val="00117B4F"/>
    <w:rsid w:val="00117B90"/>
    <w:rsid w:val="001202E9"/>
    <w:rsid w:val="001203DB"/>
    <w:rsid w:val="0012079F"/>
    <w:rsid w:val="001207F3"/>
    <w:rsid w:val="00121316"/>
    <w:rsid w:val="0012142A"/>
    <w:rsid w:val="001215DB"/>
    <w:rsid w:val="00121897"/>
    <w:rsid w:val="001218BF"/>
    <w:rsid w:val="00122153"/>
    <w:rsid w:val="00122318"/>
    <w:rsid w:val="00122581"/>
    <w:rsid w:val="00122842"/>
    <w:rsid w:val="00122EB3"/>
    <w:rsid w:val="00123090"/>
    <w:rsid w:val="0012345C"/>
    <w:rsid w:val="001235C4"/>
    <w:rsid w:val="00123975"/>
    <w:rsid w:val="00123AED"/>
    <w:rsid w:val="00123DED"/>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A7E"/>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567"/>
    <w:rsid w:val="00136640"/>
    <w:rsid w:val="00136998"/>
    <w:rsid w:val="001369B4"/>
    <w:rsid w:val="00136AAD"/>
    <w:rsid w:val="00136BA1"/>
    <w:rsid w:val="00136DF8"/>
    <w:rsid w:val="00137280"/>
    <w:rsid w:val="00137288"/>
    <w:rsid w:val="0013734E"/>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D59"/>
    <w:rsid w:val="00141E1D"/>
    <w:rsid w:val="00141E46"/>
    <w:rsid w:val="0014206B"/>
    <w:rsid w:val="00142093"/>
    <w:rsid w:val="001425AC"/>
    <w:rsid w:val="00142E42"/>
    <w:rsid w:val="001433C9"/>
    <w:rsid w:val="0014371C"/>
    <w:rsid w:val="00143B47"/>
    <w:rsid w:val="00143E78"/>
    <w:rsid w:val="00143FFE"/>
    <w:rsid w:val="0014471E"/>
    <w:rsid w:val="0014491B"/>
    <w:rsid w:val="00144B3F"/>
    <w:rsid w:val="00144E04"/>
    <w:rsid w:val="001454C4"/>
    <w:rsid w:val="00145D0A"/>
    <w:rsid w:val="00146129"/>
    <w:rsid w:val="0014624C"/>
    <w:rsid w:val="00146491"/>
    <w:rsid w:val="0014652F"/>
    <w:rsid w:val="00146AF0"/>
    <w:rsid w:val="00146B4F"/>
    <w:rsid w:val="00146BC8"/>
    <w:rsid w:val="001473A6"/>
    <w:rsid w:val="00147D65"/>
    <w:rsid w:val="00147D91"/>
    <w:rsid w:val="00147E1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BD5"/>
    <w:rsid w:val="00162CF1"/>
    <w:rsid w:val="00162F82"/>
    <w:rsid w:val="001630E4"/>
    <w:rsid w:val="001639BC"/>
    <w:rsid w:val="00163AFC"/>
    <w:rsid w:val="001644CC"/>
    <w:rsid w:val="00164646"/>
    <w:rsid w:val="001647FA"/>
    <w:rsid w:val="001649D4"/>
    <w:rsid w:val="00165137"/>
    <w:rsid w:val="001651AA"/>
    <w:rsid w:val="0016634F"/>
    <w:rsid w:val="0016642D"/>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ADA"/>
    <w:rsid w:val="00175B5A"/>
    <w:rsid w:val="00175B77"/>
    <w:rsid w:val="00175DBB"/>
    <w:rsid w:val="00175E60"/>
    <w:rsid w:val="00175FDA"/>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A2C"/>
    <w:rsid w:val="00180DC7"/>
    <w:rsid w:val="00180E60"/>
    <w:rsid w:val="001813E2"/>
    <w:rsid w:val="001817BA"/>
    <w:rsid w:val="00181B3A"/>
    <w:rsid w:val="00182050"/>
    <w:rsid w:val="001820B2"/>
    <w:rsid w:val="001821E9"/>
    <w:rsid w:val="00182608"/>
    <w:rsid w:val="00182E75"/>
    <w:rsid w:val="00182FC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1F5"/>
    <w:rsid w:val="001925E5"/>
    <w:rsid w:val="00192A10"/>
    <w:rsid w:val="00192D98"/>
    <w:rsid w:val="00193747"/>
    <w:rsid w:val="00193987"/>
    <w:rsid w:val="00193F73"/>
    <w:rsid w:val="0019573B"/>
    <w:rsid w:val="0019592C"/>
    <w:rsid w:val="00196085"/>
    <w:rsid w:val="00196300"/>
    <w:rsid w:val="001969BD"/>
    <w:rsid w:val="00196A48"/>
    <w:rsid w:val="00196B90"/>
    <w:rsid w:val="00196FF4"/>
    <w:rsid w:val="0019734F"/>
    <w:rsid w:val="001976E2"/>
    <w:rsid w:val="001A0303"/>
    <w:rsid w:val="001A032E"/>
    <w:rsid w:val="001A0421"/>
    <w:rsid w:val="001A067A"/>
    <w:rsid w:val="001A06FC"/>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199"/>
    <w:rsid w:val="001A43B8"/>
    <w:rsid w:val="001A4EDF"/>
    <w:rsid w:val="001A5174"/>
    <w:rsid w:val="001A5B4F"/>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2DA"/>
    <w:rsid w:val="001C04E1"/>
    <w:rsid w:val="001C063F"/>
    <w:rsid w:val="001C0883"/>
    <w:rsid w:val="001C0CD4"/>
    <w:rsid w:val="001C1163"/>
    <w:rsid w:val="001C16A9"/>
    <w:rsid w:val="001C1E53"/>
    <w:rsid w:val="001C211D"/>
    <w:rsid w:val="001C2582"/>
    <w:rsid w:val="001C2E60"/>
    <w:rsid w:val="001C3474"/>
    <w:rsid w:val="001C3B46"/>
    <w:rsid w:val="001C3DC6"/>
    <w:rsid w:val="001C3EAE"/>
    <w:rsid w:val="001C3F55"/>
    <w:rsid w:val="001C457D"/>
    <w:rsid w:val="001C4F5F"/>
    <w:rsid w:val="001C518A"/>
    <w:rsid w:val="001C5566"/>
    <w:rsid w:val="001C5796"/>
    <w:rsid w:val="001C589B"/>
    <w:rsid w:val="001C58A6"/>
    <w:rsid w:val="001C5F88"/>
    <w:rsid w:val="001C619C"/>
    <w:rsid w:val="001C64C2"/>
    <w:rsid w:val="001C7185"/>
    <w:rsid w:val="001C76FC"/>
    <w:rsid w:val="001C7AB6"/>
    <w:rsid w:val="001C7D18"/>
    <w:rsid w:val="001C7F47"/>
    <w:rsid w:val="001D006C"/>
    <w:rsid w:val="001D017C"/>
    <w:rsid w:val="001D02C2"/>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41D"/>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AB7"/>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488"/>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324"/>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4B"/>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4D8"/>
    <w:rsid w:val="00213706"/>
    <w:rsid w:val="00213851"/>
    <w:rsid w:val="00213F16"/>
    <w:rsid w:val="00213FF2"/>
    <w:rsid w:val="00214416"/>
    <w:rsid w:val="002148A5"/>
    <w:rsid w:val="00214E0D"/>
    <w:rsid w:val="0021521A"/>
    <w:rsid w:val="0021586D"/>
    <w:rsid w:val="002161EE"/>
    <w:rsid w:val="002162EA"/>
    <w:rsid w:val="002165F9"/>
    <w:rsid w:val="00216685"/>
    <w:rsid w:val="00216B17"/>
    <w:rsid w:val="00216BBF"/>
    <w:rsid w:val="00216E47"/>
    <w:rsid w:val="00216FED"/>
    <w:rsid w:val="00217135"/>
    <w:rsid w:val="0021737B"/>
    <w:rsid w:val="00217CE8"/>
    <w:rsid w:val="00217E9A"/>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DB9"/>
    <w:rsid w:val="00240F76"/>
    <w:rsid w:val="0024103F"/>
    <w:rsid w:val="00241C7B"/>
    <w:rsid w:val="002421F2"/>
    <w:rsid w:val="0024276C"/>
    <w:rsid w:val="00242783"/>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A62"/>
    <w:rsid w:val="00257CB5"/>
    <w:rsid w:val="00260156"/>
    <w:rsid w:val="002601A7"/>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38"/>
    <w:rsid w:val="002643C7"/>
    <w:rsid w:val="0026455A"/>
    <w:rsid w:val="0026468A"/>
    <w:rsid w:val="00264C28"/>
    <w:rsid w:val="0026509A"/>
    <w:rsid w:val="002651FC"/>
    <w:rsid w:val="00265701"/>
    <w:rsid w:val="00265E9A"/>
    <w:rsid w:val="0026611D"/>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FB"/>
    <w:rsid w:val="00276BEE"/>
    <w:rsid w:val="00276EFA"/>
    <w:rsid w:val="00277E66"/>
    <w:rsid w:val="00277EF2"/>
    <w:rsid w:val="002801E2"/>
    <w:rsid w:val="0028052D"/>
    <w:rsid w:val="00280684"/>
    <w:rsid w:val="00280706"/>
    <w:rsid w:val="0028073A"/>
    <w:rsid w:val="00280851"/>
    <w:rsid w:val="00280960"/>
    <w:rsid w:val="00280C44"/>
    <w:rsid w:val="00280D6E"/>
    <w:rsid w:val="00280E35"/>
    <w:rsid w:val="00281166"/>
    <w:rsid w:val="002825CE"/>
    <w:rsid w:val="002826D0"/>
    <w:rsid w:val="002829E8"/>
    <w:rsid w:val="00282FCB"/>
    <w:rsid w:val="0028316F"/>
    <w:rsid w:val="00283181"/>
    <w:rsid w:val="002832C5"/>
    <w:rsid w:val="002835A5"/>
    <w:rsid w:val="002836DC"/>
    <w:rsid w:val="00283D6B"/>
    <w:rsid w:val="002847A6"/>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2FBA"/>
    <w:rsid w:val="00293504"/>
    <w:rsid w:val="002935D3"/>
    <w:rsid w:val="002944CA"/>
    <w:rsid w:val="00294722"/>
    <w:rsid w:val="00294AB1"/>
    <w:rsid w:val="00295018"/>
    <w:rsid w:val="00295226"/>
    <w:rsid w:val="00295372"/>
    <w:rsid w:val="0029548C"/>
    <w:rsid w:val="00295539"/>
    <w:rsid w:val="00295F1C"/>
    <w:rsid w:val="0029636B"/>
    <w:rsid w:val="002963EC"/>
    <w:rsid w:val="002965C5"/>
    <w:rsid w:val="002966A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CA8"/>
    <w:rsid w:val="002A4E20"/>
    <w:rsid w:val="002A523D"/>
    <w:rsid w:val="002A5488"/>
    <w:rsid w:val="002A5C37"/>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84D"/>
    <w:rsid w:val="002B4C39"/>
    <w:rsid w:val="002B5976"/>
    <w:rsid w:val="002B5A52"/>
    <w:rsid w:val="002B6397"/>
    <w:rsid w:val="002B64FE"/>
    <w:rsid w:val="002B651D"/>
    <w:rsid w:val="002B6890"/>
    <w:rsid w:val="002B694E"/>
    <w:rsid w:val="002B6C12"/>
    <w:rsid w:val="002B6C2C"/>
    <w:rsid w:val="002B7095"/>
    <w:rsid w:val="002B7554"/>
    <w:rsid w:val="002C019E"/>
    <w:rsid w:val="002C04C2"/>
    <w:rsid w:val="002C0818"/>
    <w:rsid w:val="002C0AC9"/>
    <w:rsid w:val="002C0DD0"/>
    <w:rsid w:val="002C0E0A"/>
    <w:rsid w:val="002C1368"/>
    <w:rsid w:val="002C1484"/>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79E"/>
    <w:rsid w:val="002C6F88"/>
    <w:rsid w:val="002C7014"/>
    <w:rsid w:val="002C782F"/>
    <w:rsid w:val="002C7B03"/>
    <w:rsid w:val="002C7B0D"/>
    <w:rsid w:val="002C7B22"/>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1780"/>
    <w:rsid w:val="002D2057"/>
    <w:rsid w:val="002D2615"/>
    <w:rsid w:val="002D2B4E"/>
    <w:rsid w:val="002D3968"/>
    <w:rsid w:val="002D3C72"/>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07B"/>
    <w:rsid w:val="002E3624"/>
    <w:rsid w:val="002E3653"/>
    <w:rsid w:val="002E36AE"/>
    <w:rsid w:val="002E3732"/>
    <w:rsid w:val="002E38A5"/>
    <w:rsid w:val="002E38B7"/>
    <w:rsid w:val="002E4B7B"/>
    <w:rsid w:val="002E4C0E"/>
    <w:rsid w:val="002E501A"/>
    <w:rsid w:val="002E550C"/>
    <w:rsid w:val="002E58E1"/>
    <w:rsid w:val="002E5BDD"/>
    <w:rsid w:val="002E5C56"/>
    <w:rsid w:val="002E6162"/>
    <w:rsid w:val="002E679D"/>
    <w:rsid w:val="002E7321"/>
    <w:rsid w:val="002E7894"/>
    <w:rsid w:val="002E78AF"/>
    <w:rsid w:val="002E7A0A"/>
    <w:rsid w:val="002E7C45"/>
    <w:rsid w:val="002F0045"/>
    <w:rsid w:val="002F00F0"/>
    <w:rsid w:val="002F025B"/>
    <w:rsid w:val="002F0675"/>
    <w:rsid w:val="002F0684"/>
    <w:rsid w:val="002F0846"/>
    <w:rsid w:val="002F0ADB"/>
    <w:rsid w:val="002F13AA"/>
    <w:rsid w:val="002F15C7"/>
    <w:rsid w:val="002F1BBA"/>
    <w:rsid w:val="002F23FC"/>
    <w:rsid w:val="002F2AE0"/>
    <w:rsid w:val="002F3557"/>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3A9"/>
    <w:rsid w:val="003024AF"/>
    <w:rsid w:val="003024DE"/>
    <w:rsid w:val="003025A7"/>
    <w:rsid w:val="00302701"/>
    <w:rsid w:val="00302739"/>
    <w:rsid w:val="003029D6"/>
    <w:rsid w:val="00302B0F"/>
    <w:rsid w:val="00302BD2"/>
    <w:rsid w:val="0030361B"/>
    <w:rsid w:val="00303853"/>
    <w:rsid w:val="00303F67"/>
    <w:rsid w:val="00303FB7"/>
    <w:rsid w:val="00304549"/>
    <w:rsid w:val="00304AC5"/>
    <w:rsid w:val="00304FCA"/>
    <w:rsid w:val="00305372"/>
    <w:rsid w:val="003054BD"/>
    <w:rsid w:val="0030621C"/>
    <w:rsid w:val="00306306"/>
    <w:rsid w:val="003065FB"/>
    <w:rsid w:val="00306C47"/>
    <w:rsid w:val="00307B27"/>
    <w:rsid w:val="00307F28"/>
    <w:rsid w:val="003101DC"/>
    <w:rsid w:val="0031035A"/>
    <w:rsid w:val="00310CC6"/>
    <w:rsid w:val="00311642"/>
    <w:rsid w:val="00311761"/>
    <w:rsid w:val="00311941"/>
    <w:rsid w:val="00312064"/>
    <w:rsid w:val="003121B8"/>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2FB"/>
    <w:rsid w:val="0032172E"/>
    <w:rsid w:val="00321822"/>
    <w:rsid w:val="00321B02"/>
    <w:rsid w:val="00322021"/>
    <w:rsid w:val="003222E4"/>
    <w:rsid w:val="00322722"/>
    <w:rsid w:val="00322929"/>
    <w:rsid w:val="00322A6A"/>
    <w:rsid w:val="00322BC3"/>
    <w:rsid w:val="00322E3B"/>
    <w:rsid w:val="00323075"/>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FB4"/>
    <w:rsid w:val="00334799"/>
    <w:rsid w:val="00335250"/>
    <w:rsid w:val="0033588B"/>
    <w:rsid w:val="0033592C"/>
    <w:rsid w:val="00335E2A"/>
    <w:rsid w:val="003360A3"/>
    <w:rsid w:val="00336225"/>
    <w:rsid w:val="00336780"/>
    <w:rsid w:val="003367C5"/>
    <w:rsid w:val="003370D3"/>
    <w:rsid w:val="003378A3"/>
    <w:rsid w:val="00337A57"/>
    <w:rsid w:val="00337C71"/>
    <w:rsid w:val="00340083"/>
    <w:rsid w:val="00340A14"/>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5592"/>
    <w:rsid w:val="003460F4"/>
    <w:rsid w:val="003460F6"/>
    <w:rsid w:val="0034666E"/>
    <w:rsid w:val="00346A3C"/>
    <w:rsid w:val="003471DC"/>
    <w:rsid w:val="0034745C"/>
    <w:rsid w:val="00347F2E"/>
    <w:rsid w:val="00350186"/>
    <w:rsid w:val="0035025F"/>
    <w:rsid w:val="003503F4"/>
    <w:rsid w:val="0035041A"/>
    <w:rsid w:val="003505AD"/>
    <w:rsid w:val="00350631"/>
    <w:rsid w:val="0035180B"/>
    <w:rsid w:val="00351C98"/>
    <w:rsid w:val="00351EAA"/>
    <w:rsid w:val="0035216E"/>
    <w:rsid w:val="003522C9"/>
    <w:rsid w:val="003522FC"/>
    <w:rsid w:val="0035265C"/>
    <w:rsid w:val="00352759"/>
    <w:rsid w:val="00352828"/>
    <w:rsid w:val="00352952"/>
    <w:rsid w:val="00352A91"/>
    <w:rsid w:val="00352B19"/>
    <w:rsid w:val="00352CC9"/>
    <w:rsid w:val="00352D80"/>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711"/>
    <w:rsid w:val="003617B5"/>
    <w:rsid w:val="0036185C"/>
    <w:rsid w:val="0036197E"/>
    <w:rsid w:val="003621A7"/>
    <w:rsid w:val="0036262C"/>
    <w:rsid w:val="00362A2B"/>
    <w:rsid w:val="00362C5A"/>
    <w:rsid w:val="00363984"/>
    <w:rsid w:val="00363EE9"/>
    <w:rsid w:val="00364A63"/>
    <w:rsid w:val="003654DA"/>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85"/>
    <w:rsid w:val="00381918"/>
    <w:rsid w:val="003821E7"/>
    <w:rsid w:val="0038227A"/>
    <w:rsid w:val="00382390"/>
    <w:rsid w:val="0038245B"/>
    <w:rsid w:val="003827B3"/>
    <w:rsid w:val="00382903"/>
    <w:rsid w:val="00383483"/>
    <w:rsid w:val="003836C4"/>
    <w:rsid w:val="00383D4B"/>
    <w:rsid w:val="00383DDB"/>
    <w:rsid w:val="00383F0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83E"/>
    <w:rsid w:val="00393B78"/>
    <w:rsid w:val="00393E7D"/>
    <w:rsid w:val="0039419D"/>
    <w:rsid w:val="003941AC"/>
    <w:rsid w:val="00394775"/>
    <w:rsid w:val="00394928"/>
    <w:rsid w:val="00394A67"/>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14"/>
    <w:rsid w:val="003A0EB1"/>
    <w:rsid w:val="003A1135"/>
    <w:rsid w:val="003A1341"/>
    <w:rsid w:val="003A162C"/>
    <w:rsid w:val="003A19E0"/>
    <w:rsid w:val="003A19FC"/>
    <w:rsid w:val="003A1DD5"/>
    <w:rsid w:val="003A2019"/>
    <w:rsid w:val="003A2D39"/>
    <w:rsid w:val="003A2EBA"/>
    <w:rsid w:val="003A2FE7"/>
    <w:rsid w:val="003A392F"/>
    <w:rsid w:val="003A3A27"/>
    <w:rsid w:val="003A42BB"/>
    <w:rsid w:val="003A44E3"/>
    <w:rsid w:val="003A45FB"/>
    <w:rsid w:val="003A48FC"/>
    <w:rsid w:val="003A4E82"/>
    <w:rsid w:val="003A5167"/>
    <w:rsid w:val="003A5556"/>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0F0"/>
    <w:rsid w:val="003B21B1"/>
    <w:rsid w:val="003B2425"/>
    <w:rsid w:val="003B293A"/>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C90"/>
    <w:rsid w:val="003B6F75"/>
    <w:rsid w:val="003B6FCB"/>
    <w:rsid w:val="003B7020"/>
    <w:rsid w:val="003B7271"/>
    <w:rsid w:val="003B7294"/>
    <w:rsid w:val="003B76FE"/>
    <w:rsid w:val="003C009A"/>
    <w:rsid w:val="003C02B2"/>
    <w:rsid w:val="003C0456"/>
    <w:rsid w:val="003C07D7"/>
    <w:rsid w:val="003C0985"/>
    <w:rsid w:val="003C0D37"/>
    <w:rsid w:val="003C16F5"/>
    <w:rsid w:val="003C1EC9"/>
    <w:rsid w:val="003C2B4A"/>
    <w:rsid w:val="003C2C10"/>
    <w:rsid w:val="003C2C9D"/>
    <w:rsid w:val="003C3204"/>
    <w:rsid w:val="003C3B73"/>
    <w:rsid w:val="003C3D8B"/>
    <w:rsid w:val="003C3EB2"/>
    <w:rsid w:val="003C4250"/>
    <w:rsid w:val="003C4952"/>
    <w:rsid w:val="003C4D16"/>
    <w:rsid w:val="003C4D8C"/>
    <w:rsid w:val="003C4F25"/>
    <w:rsid w:val="003C52FA"/>
    <w:rsid w:val="003C6580"/>
    <w:rsid w:val="003C7459"/>
    <w:rsid w:val="003C78C0"/>
    <w:rsid w:val="003C79A4"/>
    <w:rsid w:val="003C7D16"/>
    <w:rsid w:val="003D030C"/>
    <w:rsid w:val="003D04C1"/>
    <w:rsid w:val="003D09DA"/>
    <w:rsid w:val="003D0A97"/>
    <w:rsid w:val="003D0B5A"/>
    <w:rsid w:val="003D0D75"/>
    <w:rsid w:val="003D0E68"/>
    <w:rsid w:val="003D124C"/>
    <w:rsid w:val="003D1EA1"/>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938"/>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CC3"/>
    <w:rsid w:val="003E3D11"/>
    <w:rsid w:val="003E40B3"/>
    <w:rsid w:val="003E40C9"/>
    <w:rsid w:val="003E42F7"/>
    <w:rsid w:val="003E4CDB"/>
    <w:rsid w:val="003E4E26"/>
    <w:rsid w:val="003E52EB"/>
    <w:rsid w:val="003E6279"/>
    <w:rsid w:val="003E6592"/>
    <w:rsid w:val="003E703E"/>
    <w:rsid w:val="003E73BC"/>
    <w:rsid w:val="003E740A"/>
    <w:rsid w:val="003E7A02"/>
    <w:rsid w:val="003E7A07"/>
    <w:rsid w:val="003F01C0"/>
    <w:rsid w:val="003F0656"/>
    <w:rsid w:val="003F08C9"/>
    <w:rsid w:val="003F0905"/>
    <w:rsid w:val="003F16E1"/>
    <w:rsid w:val="003F184C"/>
    <w:rsid w:val="003F1947"/>
    <w:rsid w:val="003F1B6D"/>
    <w:rsid w:val="003F1D73"/>
    <w:rsid w:val="003F20E2"/>
    <w:rsid w:val="003F2244"/>
    <w:rsid w:val="003F23A7"/>
    <w:rsid w:val="003F2564"/>
    <w:rsid w:val="003F2624"/>
    <w:rsid w:val="003F2711"/>
    <w:rsid w:val="003F2876"/>
    <w:rsid w:val="003F2A56"/>
    <w:rsid w:val="003F3865"/>
    <w:rsid w:val="003F399A"/>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E9A"/>
    <w:rsid w:val="004010CF"/>
    <w:rsid w:val="004012FA"/>
    <w:rsid w:val="00401612"/>
    <w:rsid w:val="004017C6"/>
    <w:rsid w:val="004024AB"/>
    <w:rsid w:val="00402E1D"/>
    <w:rsid w:val="00402F2C"/>
    <w:rsid w:val="0040303D"/>
    <w:rsid w:val="0040379F"/>
    <w:rsid w:val="00403805"/>
    <w:rsid w:val="00403824"/>
    <w:rsid w:val="00403F25"/>
    <w:rsid w:val="0040495B"/>
    <w:rsid w:val="00404AE9"/>
    <w:rsid w:val="00405194"/>
    <w:rsid w:val="00405476"/>
    <w:rsid w:val="00405898"/>
    <w:rsid w:val="00405D95"/>
    <w:rsid w:val="00405F90"/>
    <w:rsid w:val="00406064"/>
    <w:rsid w:val="00406108"/>
    <w:rsid w:val="00406412"/>
    <w:rsid w:val="00406F4B"/>
    <w:rsid w:val="00406FBD"/>
    <w:rsid w:val="00407186"/>
    <w:rsid w:val="004073B0"/>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69A"/>
    <w:rsid w:val="0041372D"/>
    <w:rsid w:val="00413E02"/>
    <w:rsid w:val="00414129"/>
    <w:rsid w:val="0041413D"/>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304"/>
    <w:rsid w:val="0042438E"/>
    <w:rsid w:val="00424C34"/>
    <w:rsid w:val="00425476"/>
    <w:rsid w:val="00425771"/>
    <w:rsid w:val="00425B4E"/>
    <w:rsid w:val="00425BF1"/>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0E"/>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B06"/>
    <w:rsid w:val="00451BEB"/>
    <w:rsid w:val="00451C54"/>
    <w:rsid w:val="004525E6"/>
    <w:rsid w:val="004527C0"/>
    <w:rsid w:val="00453871"/>
    <w:rsid w:val="00453DEF"/>
    <w:rsid w:val="00453E84"/>
    <w:rsid w:val="00453F94"/>
    <w:rsid w:val="004543E4"/>
    <w:rsid w:val="004548E5"/>
    <w:rsid w:val="00454F08"/>
    <w:rsid w:val="00455105"/>
    <w:rsid w:val="00455440"/>
    <w:rsid w:val="00455838"/>
    <w:rsid w:val="00455C09"/>
    <w:rsid w:val="00456114"/>
    <w:rsid w:val="0045675A"/>
    <w:rsid w:val="00456971"/>
    <w:rsid w:val="00456B9B"/>
    <w:rsid w:val="00456C51"/>
    <w:rsid w:val="0045742D"/>
    <w:rsid w:val="00457983"/>
    <w:rsid w:val="00457A1D"/>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880"/>
    <w:rsid w:val="00464919"/>
    <w:rsid w:val="00464EE0"/>
    <w:rsid w:val="00465461"/>
    <w:rsid w:val="00465467"/>
    <w:rsid w:val="00465573"/>
    <w:rsid w:val="0046567F"/>
    <w:rsid w:val="004658C3"/>
    <w:rsid w:val="00465EB3"/>
    <w:rsid w:val="0046645E"/>
    <w:rsid w:val="0046698E"/>
    <w:rsid w:val="004671AF"/>
    <w:rsid w:val="00467838"/>
    <w:rsid w:val="0047041E"/>
    <w:rsid w:val="00470428"/>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591"/>
    <w:rsid w:val="00474669"/>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6FC5"/>
    <w:rsid w:val="004770A2"/>
    <w:rsid w:val="004774C5"/>
    <w:rsid w:val="004775ED"/>
    <w:rsid w:val="004777C7"/>
    <w:rsid w:val="00477B0B"/>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7D4"/>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948"/>
    <w:rsid w:val="004A4BE8"/>
    <w:rsid w:val="004A4D38"/>
    <w:rsid w:val="004A4E7E"/>
    <w:rsid w:val="004A4E95"/>
    <w:rsid w:val="004A5270"/>
    <w:rsid w:val="004A5667"/>
    <w:rsid w:val="004A57FC"/>
    <w:rsid w:val="004A58EB"/>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B31"/>
    <w:rsid w:val="004B2C33"/>
    <w:rsid w:val="004B2CDB"/>
    <w:rsid w:val="004B30DE"/>
    <w:rsid w:val="004B385B"/>
    <w:rsid w:val="004B3C3F"/>
    <w:rsid w:val="004B45A2"/>
    <w:rsid w:val="004B4A0F"/>
    <w:rsid w:val="004B4AA2"/>
    <w:rsid w:val="004B4C67"/>
    <w:rsid w:val="004B50E0"/>
    <w:rsid w:val="004B515E"/>
    <w:rsid w:val="004B5265"/>
    <w:rsid w:val="004B55EC"/>
    <w:rsid w:val="004B5643"/>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1AB8"/>
    <w:rsid w:val="004C2371"/>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56E"/>
    <w:rsid w:val="004D171F"/>
    <w:rsid w:val="004D1A33"/>
    <w:rsid w:val="004D1D64"/>
    <w:rsid w:val="004D1D92"/>
    <w:rsid w:val="004D1DED"/>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63B"/>
    <w:rsid w:val="004D56CA"/>
    <w:rsid w:val="004D58D1"/>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EA"/>
    <w:rsid w:val="004E6D4E"/>
    <w:rsid w:val="004E6E83"/>
    <w:rsid w:val="004E7691"/>
    <w:rsid w:val="004E76A5"/>
    <w:rsid w:val="004E76EE"/>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6C3"/>
    <w:rsid w:val="004F4760"/>
    <w:rsid w:val="004F497D"/>
    <w:rsid w:val="004F4E53"/>
    <w:rsid w:val="004F4F06"/>
    <w:rsid w:val="004F55BE"/>
    <w:rsid w:val="004F58AB"/>
    <w:rsid w:val="004F627A"/>
    <w:rsid w:val="004F66FA"/>
    <w:rsid w:val="004F67A9"/>
    <w:rsid w:val="004F6AFE"/>
    <w:rsid w:val="004F6E3A"/>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2C"/>
    <w:rsid w:val="00501577"/>
    <w:rsid w:val="005016E5"/>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CAF"/>
    <w:rsid w:val="00510374"/>
    <w:rsid w:val="00510444"/>
    <w:rsid w:val="00510B25"/>
    <w:rsid w:val="0051179B"/>
    <w:rsid w:val="00511E67"/>
    <w:rsid w:val="00511FB2"/>
    <w:rsid w:val="00512086"/>
    <w:rsid w:val="00512747"/>
    <w:rsid w:val="00512B8F"/>
    <w:rsid w:val="00512E1C"/>
    <w:rsid w:val="005136B4"/>
    <w:rsid w:val="00513F8F"/>
    <w:rsid w:val="00514455"/>
    <w:rsid w:val="005147E7"/>
    <w:rsid w:val="00514882"/>
    <w:rsid w:val="005149A2"/>
    <w:rsid w:val="00514CEE"/>
    <w:rsid w:val="005150A0"/>
    <w:rsid w:val="005150E4"/>
    <w:rsid w:val="00515907"/>
    <w:rsid w:val="00515E2B"/>
    <w:rsid w:val="00516B96"/>
    <w:rsid w:val="00516DD3"/>
    <w:rsid w:val="005173A4"/>
    <w:rsid w:val="0051770E"/>
    <w:rsid w:val="00517B28"/>
    <w:rsid w:val="0052001B"/>
    <w:rsid w:val="005205C8"/>
    <w:rsid w:val="00521D65"/>
    <w:rsid w:val="005221A4"/>
    <w:rsid w:val="00522F19"/>
    <w:rsid w:val="00523366"/>
    <w:rsid w:val="00523B85"/>
    <w:rsid w:val="00523E18"/>
    <w:rsid w:val="00523F32"/>
    <w:rsid w:val="0052422C"/>
    <w:rsid w:val="005243F4"/>
    <w:rsid w:val="005244D5"/>
    <w:rsid w:val="00524506"/>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C01"/>
    <w:rsid w:val="00531F71"/>
    <w:rsid w:val="00532462"/>
    <w:rsid w:val="00532486"/>
    <w:rsid w:val="00532B16"/>
    <w:rsid w:val="00532C9D"/>
    <w:rsid w:val="00532DBB"/>
    <w:rsid w:val="00533169"/>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A0"/>
    <w:rsid w:val="00541B6E"/>
    <w:rsid w:val="00541E2B"/>
    <w:rsid w:val="005436D7"/>
    <w:rsid w:val="00543703"/>
    <w:rsid w:val="005437F5"/>
    <w:rsid w:val="00543A66"/>
    <w:rsid w:val="00543A83"/>
    <w:rsid w:val="00544220"/>
    <w:rsid w:val="005444D2"/>
    <w:rsid w:val="005448FC"/>
    <w:rsid w:val="00544C33"/>
    <w:rsid w:val="0054556F"/>
    <w:rsid w:val="005457A9"/>
    <w:rsid w:val="005458F0"/>
    <w:rsid w:val="00545C3D"/>
    <w:rsid w:val="00545E6A"/>
    <w:rsid w:val="00545FD7"/>
    <w:rsid w:val="00546310"/>
    <w:rsid w:val="005465E6"/>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A9E"/>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938"/>
    <w:rsid w:val="00564E2D"/>
    <w:rsid w:val="00564F02"/>
    <w:rsid w:val="00565679"/>
    <w:rsid w:val="00565F48"/>
    <w:rsid w:val="00566AC7"/>
    <w:rsid w:val="0056719E"/>
    <w:rsid w:val="005701C5"/>
    <w:rsid w:val="005702F8"/>
    <w:rsid w:val="005703E3"/>
    <w:rsid w:val="0057054C"/>
    <w:rsid w:val="005706C1"/>
    <w:rsid w:val="00570825"/>
    <w:rsid w:val="00570886"/>
    <w:rsid w:val="005708C3"/>
    <w:rsid w:val="005708C6"/>
    <w:rsid w:val="0057096A"/>
    <w:rsid w:val="00570B5B"/>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045"/>
    <w:rsid w:val="00584496"/>
    <w:rsid w:val="00584D31"/>
    <w:rsid w:val="00584DB8"/>
    <w:rsid w:val="005854EF"/>
    <w:rsid w:val="00585821"/>
    <w:rsid w:val="00585932"/>
    <w:rsid w:val="00585C3A"/>
    <w:rsid w:val="0058628A"/>
    <w:rsid w:val="005863AF"/>
    <w:rsid w:val="00586897"/>
    <w:rsid w:val="00587117"/>
    <w:rsid w:val="0058759B"/>
    <w:rsid w:val="0058764D"/>
    <w:rsid w:val="005876F1"/>
    <w:rsid w:val="00590203"/>
    <w:rsid w:val="00590443"/>
    <w:rsid w:val="00590527"/>
    <w:rsid w:val="00590749"/>
    <w:rsid w:val="00590BF6"/>
    <w:rsid w:val="00591048"/>
    <w:rsid w:val="00591777"/>
    <w:rsid w:val="00591B9B"/>
    <w:rsid w:val="00591B9C"/>
    <w:rsid w:val="00592160"/>
    <w:rsid w:val="005923C9"/>
    <w:rsid w:val="005927CA"/>
    <w:rsid w:val="0059284F"/>
    <w:rsid w:val="00593649"/>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D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674"/>
    <w:rsid w:val="005A4999"/>
    <w:rsid w:val="005A4E38"/>
    <w:rsid w:val="005A4E39"/>
    <w:rsid w:val="005A50CE"/>
    <w:rsid w:val="005A55A6"/>
    <w:rsid w:val="005A588D"/>
    <w:rsid w:val="005A59CF"/>
    <w:rsid w:val="005A6441"/>
    <w:rsid w:val="005A6A3A"/>
    <w:rsid w:val="005A6B20"/>
    <w:rsid w:val="005A6B41"/>
    <w:rsid w:val="005A6FA1"/>
    <w:rsid w:val="005A7F72"/>
    <w:rsid w:val="005B00FD"/>
    <w:rsid w:val="005B0814"/>
    <w:rsid w:val="005B0AD4"/>
    <w:rsid w:val="005B107A"/>
    <w:rsid w:val="005B1C8E"/>
    <w:rsid w:val="005B1EB5"/>
    <w:rsid w:val="005B2D4D"/>
    <w:rsid w:val="005B2D68"/>
    <w:rsid w:val="005B2EB8"/>
    <w:rsid w:val="005B32FD"/>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6FDA"/>
    <w:rsid w:val="005B703E"/>
    <w:rsid w:val="005B70E8"/>
    <w:rsid w:val="005B7389"/>
    <w:rsid w:val="005B7824"/>
    <w:rsid w:val="005B7BDB"/>
    <w:rsid w:val="005B7E2B"/>
    <w:rsid w:val="005C023B"/>
    <w:rsid w:val="005C0625"/>
    <w:rsid w:val="005C0904"/>
    <w:rsid w:val="005C09BF"/>
    <w:rsid w:val="005C0C0C"/>
    <w:rsid w:val="005C0D61"/>
    <w:rsid w:val="005C0DDE"/>
    <w:rsid w:val="005C11DA"/>
    <w:rsid w:val="005C1225"/>
    <w:rsid w:val="005C132F"/>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6E2"/>
    <w:rsid w:val="005D0790"/>
    <w:rsid w:val="005D0FCE"/>
    <w:rsid w:val="005D1374"/>
    <w:rsid w:val="005D1A17"/>
    <w:rsid w:val="005D20FC"/>
    <w:rsid w:val="005D241F"/>
    <w:rsid w:val="005D24A2"/>
    <w:rsid w:val="005D26D7"/>
    <w:rsid w:val="005D2A49"/>
    <w:rsid w:val="005D2B7E"/>
    <w:rsid w:val="005D2EE8"/>
    <w:rsid w:val="005D31D3"/>
    <w:rsid w:val="005D37FF"/>
    <w:rsid w:val="005D38F9"/>
    <w:rsid w:val="005D4764"/>
    <w:rsid w:val="005D5499"/>
    <w:rsid w:val="005D576B"/>
    <w:rsid w:val="005D594D"/>
    <w:rsid w:val="005D5E46"/>
    <w:rsid w:val="005D609E"/>
    <w:rsid w:val="005D64A5"/>
    <w:rsid w:val="005D6929"/>
    <w:rsid w:val="005D6B30"/>
    <w:rsid w:val="005D6E1C"/>
    <w:rsid w:val="005D7741"/>
    <w:rsid w:val="005D7E04"/>
    <w:rsid w:val="005D7FED"/>
    <w:rsid w:val="005E0082"/>
    <w:rsid w:val="005E1385"/>
    <w:rsid w:val="005E1393"/>
    <w:rsid w:val="005E15AA"/>
    <w:rsid w:val="005E1A58"/>
    <w:rsid w:val="005E1AD0"/>
    <w:rsid w:val="005E1C06"/>
    <w:rsid w:val="005E2E2C"/>
    <w:rsid w:val="005E3232"/>
    <w:rsid w:val="005E35FD"/>
    <w:rsid w:val="005E383F"/>
    <w:rsid w:val="005E3C1D"/>
    <w:rsid w:val="005E48F7"/>
    <w:rsid w:val="005E4AA6"/>
    <w:rsid w:val="005E4F80"/>
    <w:rsid w:val="005E4FBD"/>
    <w:rsid w:val="005E5009"/>
    <w:rsid w:val="005E5256"/>
    <w:rsid w:val="005E5563"/>
    <w:rsid w:val="005E580A"/>
    <w:rsid w:val="005E5877"/>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CD6"/>
    <w:rsid w:val="005F1FE4"/>
    <w:rsid w:val="005F2405"/>
    <w:rsid w:val="005F2441"/>
    <w:rsid w:val="005F3121"/>
    <w:rsid w:val="005F327D"/>
    <w:rsid w:val="005F369B"/>
    <w:rsid w:val="005F3702"/>
    <w:rsid w:val="005F39B3"/>
    <w:rsid w:val="005F3F7F"/>
    <w:rsid w:val="005F40E5"/>
    <w:rsid w:val="005F4660"/>
    <w:rsid w:val="005F46D9"/>
    <w:rsid w:val="005F4950"/>
    <w:rsid w:val="005F509E"/>
    <w:rsid w:val="005F5526"/>
    <w:rsid w:val="005F5BF5"/>
    <w:rsid w:val="005F5E38"/>
    <w:rsid w:val="005F5F84"/>
    <w:rsid w:val="005F660A"/>
    <w:rsid w:val="005F6680"/>
    <w:rsid w:val="005F6697"/>
    <w:rsid w:val="005F6F9C"/>
    <w:rsid w:val="005F6FFC"/>
    <w:rsid w:val="005F7F11"/>
    <w:rsid w:val="006004DE"/>
    <w:rsid w:val="00600E1A"/>
    <w:rsid w:val="00601072"/>
    <w:rsid w:val="0060144E"/>
    <w:rsid w:val="00601754"/>
    <w:rsid w:val="00601D4D"/>
    <w:rsid w:val="00601E5E"/>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635E"/>
    <w:rsid w:val="00607039"/>
    <w:rsid w:val="006074A6"/>
    <w:rsid w:val="006074B1"/>
    <w:rsid w:val="006075ED"/>
    <w:rsid w:val="00607858"/>
    <w:rsid w:val="006079D8"/>
    <w:rsid w:val="00607ADE"/>
    <w:rsid w:val="00607E68"/>
    <w:rsid w:val="00607EA3"/>
    <w:rsid w:val="0061005A"/>
    <w:rsid w:val="006102C6"/>
    <w:rsid w:val="006103F0"/>
    <w:rsid w:val="006113A9"/>
    <w:rsid w:val="00611A0D"/>
    <w:rsid w:val="00612A01"/>
    <w:rsid w:val="00612C73"/>
    <w:rsid w:val="00612E4F"/>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A66"/>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BFF"/>
    <w:rsid w:val="00624C6E"/>
    <w:rsid w:val="00624FB3"/>
    <w:rsid w:val="00625423"/>
    <w:rsid w:val="00625B24"/>
    <w:rsid w:val="00626560"/>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1C5"/>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42B"/>
    <w:rsid w:val="00661636"/>
    <w:rsid w:val="00661664"/>
    <w:rsid w:val="00661CC2"/>
    <w:rsid w:val="00661D38"/>
    <w:rsid w:val="00661D9A"/>
    <w:rsid w:val="00662166"/>
    <w:rsid w:val="006624EA"/>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67AAB"/>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652"/>
    <w:rsid w:val="006757DC"/>
    <w:rsid w:val="006760CD"/>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D16"/>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576"/>
    <w:rsid w:val="006879C9"/>
    <w:rsid w:val="006879D8"/>
    <w:rsid w:val="006901AF"/>
    <w:rsid w:val="00690386"/>
    <w:rsid w:val="00690423"/>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6FB"/>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63A2"/>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65D"/>
    <w:rsid w:val="006C27DA"/>
    <w:rsid w:val="006C3009"/>
    <w:rsid w:val="006C36E1"/>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666"/>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684"/>
    <w:rsid w:val="006D7B93"/>
    <w:rsid w:val="006D7D41"/>
    <w:rsid w:val="006D7DAD"/>
    <w:rsid w:val="006E01D3"/>
    <w:rsid w:val="006E078E"/>
    <w:rsid w:val="006E0ADC"/>
    <w:rsid w:val="006E0B16"/>
    <w:rsid w:val="006E0E60"/>
    <w:rsid w:val="006E0ED0"/>
    <w:rsid w:val="006E176F"/>
    <w:rsid w:val="006E1EE1"/>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D87"/>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6AF6"/>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BFC"/>
    <w:rsid w:val="007034BC"/>
    <w:rsid w:val="0070352A"/>
    <w:rsid w:val="007035F6"/>
    <w:rsid w:val="007036E5"/>
    <w:rsid w:val="00703D58"/>
    <w:rsid w:val="00704266"/>
    <w:rsid w:val="007044C2"/>
    <w:rsid w:val="007047A7"/>
    <w:rsid w:val="00704A33"/>
    <w:rsid w:val="00704DEB"/>
    <w:rsid w:val="00705584"/>
    <w:rsid w:val="00705E96"/>
    <w:rsid w:val="00706E08"/>
    <w:rsid w:val="00706F3F"/>
    <w:rsid w:val="007070C3"/>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44"/>
    <w:rsid w:val="00716FC0"/>
    <w:rsid w:val="00717017"/>
    <w:rsid w:val="00717113"/>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65"/>
    <w:rsid w:val="007254B1"/>
    <w:rsid w:val="0072560E"/>
    <w:rsid w:val="0072582B"/>
    <w:rsid w:val="00725CB6"/>
    <w:rsid w:val="00725D75"/>
    <w:rsid w:val="0072602E"/>
    <w:rsid w:val="00726281"/>
    <w:rsid w:val="0072665F"/>
    <w:rsid w:val="00726E20"/>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230"/>
    <w:rsid w:val="0073448F"/>
    <w:rsid w:val="0073497A"/>
    <w:rsid w:val="007356D0"/>
    <w:rsid w:val="0073637C"/>
    <w:rsid w:val="007366CA"/>
    <w:rsid w:val="00736795"/>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E4"/>
    <w:rsid w:val="007509F9"/>
    <w:rsid w:val="00750EF0"/>
    <w:rsid w:val="007512D3"/>
    <w:rsid w:val="00751545"/>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407"/>
    <w:rsid w:val="0075583A"/>
    <w:rsid w:val="007559EC"/>
    <w:rsid w:val="00755B06"/>
    <w:rsid w:val="00755C07"/>
    <w:rsid w:val="00755E06"/>
    <w:rsid w:val="007564B4"/>
    <w:rsid w:val="007565E2"/>
    <w:rsid w:val="007570A3"/>
    <w:rsid w:val="007572E9"/>
    <w:rsid w:val="00757495"/>
    <w:rsid w:val="0075781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6D1"/>
    <w:rsid w:val="007768F2"/>
    <w:rsid w:val="00776A21"/>
    <w:rsid w:val="00776E9E"/>
    <w:rsid w:val="00777053"/>
    <w:rsid w:val="007770F1"/>
    <w:rsid w:val="00777C18"/>
    <w:rsid w:val="00777CD9"/>
    <w:rsid w:val="00777E96"/>
    <w:rsid w:val="00777EE9"/>
    <w:rsid w:val="00780593"/>
    <w:rsid w:val="00780657"/>
    <w:rsid w:val="00780980"/>
    <w:rsid w:val="007809E1"/>
    <w:rsid w:val="00780D72"/>
    <w:rsid w:val="0078146E"/>
    <w:rsid w:val="00781633"/>
    <w:rsid w:val="0078165E"/>
    <w:rsid w:val="007816FD"/>
    <w:rsid w:val="00781B9A"/>
    <w:rsid w:val="00781D74"/>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23"/>
    <w:rsid w:val="00792ECC"/>
    <w:rsid w:val="007939C7"/>
    <w:rsid w:val="00793F70"/>
    <w:rsid w:val="0079400D"/>
    <w:rsid w:val="00794097"/>
    <w:rsid w:val="007947FB"/>
    <w:rsid w:val="00794842"/>
    <w:rsid w:val="0079485D"/>
    <w:rsid w:val="007954AC"/>
    <w:rsid w:val="0079601B"/>
    <w:rsid w:val="007962E1"/>
    <w:rsid w:val="00796589"/>
    <w:rsid w:val="0079663F"/>
    <w:rsid w:val="0079692D"/>
    <w:rsid w:val="00796F91"/>
    <w:rsid w:val="0079773B"/>
    <w:rsid w:val="00797DAA"/>
    <w:rsid w:val="00797FCF"/>
    <w:rsid w:val="007A0616"/>
    <w:rsid w:val="007A091C"/>
    <w:rsid w:val="007A0DAC"/>
    <w:rsid w:val="007A1189"/>
    <w:rsid w:val="007A15BA"/>
    <w:rsid w:val="007A166E"/>
    <w:rsid w:val="007A16BA"/>
    <w:rsid w:val="007A1964"/>
    <w:rsid w:val="007A1B63"/>
    <w:rsid w:val="007A288A"/>
    <w:rsid w:val="007A2A53"/>
    <w:rsid w:val="007A2BFF"/>
    <w:rsid w:val="007A2DE7"/>
    <w:rsid w:val="007A300F"/>
    <w:rsid w:val="007A3040"/>
    <w:rsid w:val="007A3373"/>
    <w:rsid w:val="007A3395"/>
    <w:rsid w:val="007A3505"/>
    <w:rsid w:val="007A3BF2"/>
    <w:rsid w:val="007A3FC5"/>
    <w:rsid w:val="007A425F"/>
    <w:rsid w:val="007A4264"/>
    <w:rsid w:val="007A43F5"/>
    <w:rsid w:val="007A44BE"/>
    <w:rsid w:val="007A4AF1"/>
    <w:rsid w:val="007A5288"/>
    <w:rsid w:val="007A618D"/>
    <w:rsid w:val="007A6333"/>
    <w:rsid w:val="007A6477"/>
    <w:rsid w:val="007A6909"/>
    <w:rsid w:val="007A6D88"/>
    <w:rsid w:val="007A75A3"/>
    <w:rsid w:val="007B0253"/>
    <w:rsid w:val="007B073B"/>
    <w:rsid w:val="007B07A2"/>
    <w:rsid w:val="007B0865"/>
    <w:rsid w:val="007B08D1"/>
    <w:rsid w:val="007B09ED"/>
    <w:rsid w:val="007B0B92"/>
    <w:rsid w:val="007B1061"/>
    <w:rsid w:val="007B1F9A"/>
    <w:rsid w:val="007B21A9"/>
    <w:rsid w:val="007B2638"/>
    <w:rsid w:val="007B314C"/>
    <w:rsid w:val="007B31E2"/>
    <w:rsid w:val="007B322B"/>
    <w:rsid w:val="007B3476"/>
    <w:rsid w:val="007B3B36"/>
    <w:rsid w:val="007B3D55"/>
    <w:rsid w:val="007B4097"/>
    <w:rsid w:val="007B40AD"/>
    <w:rsid w:val="007B448A"/>
    <w:rsid w:val="007B44DC"/>
    <w:rsid w:val="007B4543"/>
    <w:rsid w:val="007B4937"/>
    <w:rsid w:val="007B51B7"/>
    <w:rsid w:val="007B53E5"/>
    <w:rsid w:val="007B5A1D"/>
    <w:rsid w:val="007B5A66"/>
    <w:rsid w:val="007B630D"/>
    <w:rsid w:val="007B697F"/>
    <w:rsid w:val="007B6B11"/>
    <w:rsid w:val="007B6B4C"/>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1AE"/>
    <w:rsid w:val="007E02CC"/>
    <w:rsid w:val="007E07FD"/>
    <w:rsid w:val="007E0981"/>
    <w:rsid w:val="007E0986"/>
    <w:rsid w:val="007E0C8C"/>
    <w:rsid w:val="007E1261"/>
    <w:rsid w:val="007E13BC"/>
    <w:rsid w:val="007E1479"/>
    <w:rsid w:val="007E148E"/>
    <w:rsid w:val="007E152B"/>
    <w:rsid w:val="007E1A37"/>
    <w:rsid w:val="007E1A55"/>
    <w:rsid w:val="007E1CB1"/>
    <w:rsid w:val="007E201B"/>
    <w:rsid w:val="007E2146"/>
    <w:rsid w:val="007E2B64"/>
    <w:rsid w:val="007E2B78"/>
    <w:rsid w:val="007E2E4B"/>
    <w:rsid w:val="007E3F68"/>
    <w:rsid w:val="007E469D"/>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4E7"/>
    <w:rsid w:val="007F05E0"/>
    <w:rsid w:val="007F0B77"/>
    <w:rsid w:val="007F0DD3"/>
    <w:rsid w:val="007F18C0"/>
    <w:rsid w:val="007F1A4C"/>
    <w:rsid w:val="007F1BD7"/>
    <w:rsid w:val="007F22A5"/>
    <w:rsid w:val="007F2771"/>
    <w:rsid w:val="007F2807"/>
    <w:rsid w:val="007F2DBB"/>
    <w:rsid w:val="007F2ED4"/>
    <w:rsid w:val="007F325B"/>
    <w:rsid w:val="007F3938"/>
    <w:rsid w:val="007F3FB0"/>
    <w:rsid w:val="007F43A9"/>
    <w:rsid w:val="007F52B1"/>
    <w:rsid w:val="007F5608"/>
    <w:rsid w:val="007F5777"/>
    <w:rsid w:val="007F5874"/>
    <w:rsid w:val="007F5D4A"/>
    <w:rsid w:val="007F6562"/>
    <w:rsid w:val="007F65F2"/>
    <w:rsid w:val="007F6FFB"/>
    <w:rsid w:val="007F70D6"/>
    <w:rsid w:val="007F7864"/>
    <w:rsid w:val="007F795B"/>
    <w:rsid w:val="007F7B6D"/>
    <w:rsid w:val="007F7C2F"/>
    <w:rsid w:val="007F7E76"/>
    <w:rsid w:val="008000A5"/>
    <w:rsid w:val="00800104"/>
    <w:rsid w:val="00800184"/>
    <w:rsid w:val="00800994"/>
    <w:rsid w:val="00800D5F"/>
    <w:rsid w:val="008013B8"/>
    <w:rsid w:val="0080151C"/>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111"/>
    <w:rsid w:val="00805227"/>
    <w:rsid w:val="00805597"/>
    <w:rsid w:val="00806979"/>
    <w:rsid w:val="0080699F"/>
    <w:rsid w:val="00806ACA"/>
    <w:rsid w:val="00806D29"/>
    <w:rsid w:val="0080770D"/>
    <w:rsid w:val="00807D28"/>
    <w:rsid w:val="00807D5E"/>
    <w:rsid w:val="00807E1B"/>
    <w:rsid w:val="0081012C"/>
    <w:rsid w:val="0081017A"/>
    <w:rsid w:val="00810234"/>
    <w:rsid w:val="008102A5"/>
    <w:rsid w:val="008102E8"/>
    <w:rsid w:val="00810552"/>
    <w:rsid w:val="00810C3E"/>
    <w:rsid w:val="00810DE9"/>
    <w:rsid w:val="00810EAE"/>
    <w:rsid w:val="00811036"/>
    <w:rsid w:val="008110E0"/>
    <w:rsid w:val="008113AB"/>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25"/>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3FF"/>
    <w:rsid w:val="00826D90"/>
    <w:rsid w:val="00826D9C"/>
    <w:rsid w:val="00827015"/>
    <w:rsid w:val="00827105"/>
    <w:rsid w:val="00827109"/>
    <w:rsid w:val="00827648"/>
    <w:rsid w:val="00827930"/>
    <w:rsid w:val="00827A41"/>
    <w:rsid w:val="00827AF3"/>
    <w:rsid w:val="00827F55"/>
    <w:rsid w:val="0083056F"/>
    <w:rsid w:val="008307F2"/>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CB"/>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0433"/>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2D8"/>
    <w:rsid w:val="008648FC"/>
    <w:rsid w:val="00864A9F"/>
    <w:rsid w:val="008650AB"/>
    <w:rsid w:val="00865696"/>
    <w:rsid w:val="00865D4C"/>
    <w:rsid w:val="00865DE1"/>
    <w:rsid w:val="00866453"/>
    <w:rsid w:val="008664D9"/>
    <w:rsid w:val="00866781"/>
    <w:rsid w:val="00866850"/>
    <w:rsid w:val="008672EB"/>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35A"/>
    <w:rsid w:val="0087250F"/>
    <w:rsid w:val="008734E7"/>
    <w:rsid w:val="0087352A"/>
    <w:rsid w:val="00873AA8"/>
    <w:rsid w:val="00873BF0"/>
    <w:rsid w:val="00874560"/>
    <w:rsid w:val="00874D5F"/>
    <w:rsid w:val="00874E33"/>
    <w:rsid w:val="00874FAC"/>
    <w:rsid w:val="0087504C"/>
    <w:rsid w:val="00875905"/>
    <w:rsid w:val="00875E7F"/>
    <w:rsid w:val="00875F79"/>
    <w:rsid w:val="00875FBD"/>
    <w:rsid w:val="00876392"/>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CCB"/>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2763"/>
    <w:rsid w:val="0089287B"/>
    <w:rsid w:val="00893024"/>
    <w:rsid w:val="00893B3B"/>
    <w:rsid w:val="0089410F"/>
    <w:rsid w:val="00894304"/>
    <w:rsid w:val="00894C16"/>
    <w:rsid w:val="00894C3B"/>
    <w:rsid w:val="00894D6C"/>
    <w:rsid w:val="00894FEF"/>
    <w:rsid w:val="00895243"/>
    <w:rsid w:val="008953FF"/>
    <w:rsid w:val="00895A0C"/>
    <w:rsid w:val="0089622F"/>
    <w:rsid w:val="00896A6F"/>
    <w:rsid w:val="00896D10"/>
    <w:rsid w:val="00896DF5"/>
    <w:rsid w:val="00897A5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2FA5"/>
    <w:rsid w:val="008A36DE"/>
    <w:rsid w:val="008A36ED"/>
    <w:rsid w:val="008A3898"/>
    <w:rsid w:val="008A42D8"/>
    <w:rsid w:val="008A457F"/>
    <w:rsid w:val="008A45E8"/>
    <w:rsid w:val="008A53C3"/>
    <w:rsid w:val="008A59E9"/>
    <w:rsid w:val="008A5AFF"/>
    <w:rsid w:val="008A5BFE"/>
    <w:rsid w:val="008A5E30"/>
    <w:rsid w:val="008A631F"/>
    <w:rsid w:val="008A668F"/>
    <w:rsid w:val="008A725C"/>
    <w:rsid w:val="008A72A4"/>
    <w:rsid w:val="008A74E8"/>
    <w:rsid w:val="008A758D"/>
    <w:rsid w:val="008A75C5"/>
    <w:rsid w:val="008A7669"/>
    <w:rsid w:val="008A77AC"/>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945"/>
    <w:rsid w:val="008B4B0D"/>
    <w:rsid w:val="008B4B33"/>
    <w:rsid w:val="008B4B36"/>
    <w:rsid w:val="008B50A1"/>
    <w:rsid w:val="008B5577"/>
    <w:rsid w:val="008B56A4"/>
    <w:rsid w:val="008B60E9"/>
    <w:rsid w:val="008B60ED"/>
    <w:rsid w:val="008B614C"/>
    <w:rsid w:val="008B6E5C"/>
    <w:rsid w:val="008B739E"/>
    <w:rsid w:val="008B766A"/>
    <w:rsid w:val="008B7781"/>
    <w:rsid w:val="008B7A0E"/>
    <w:rsid w:val="008B7BD4"/>
    <w:rsid w:val="008B7E5B"/>
    <w:rsid w:val="008C003B"/>
    <w:rsid w:val="008C022D"/>
    <w:rsid w:val="008C0431"/>
    <w:rsid w:val="008C1A19"/>
    <w:rsid w:val="008C1ABE"/>
    <w:rsid w:val="008C1FCE"/>
    <w:rsid w:val="008C2426"/>
    <w:rsid w:val="008C2453"/>
    <w:rsid w:val="008C24E8"/>
    <w:rsid w:val="008C265E"/>
    <w:rsid w:val="008C26B4"/>
    <w:rsid w:val="008C28BA"/>
    <w:rsid w:val="008C3240"/>
    <w:rsid w:val="008C4188"/>
    <w:rsid w:val="008C46EC"/>
    <w:rsid w:val="008C49D5"/>
    <w:rsid w:val="008C4B47"/>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B18"/>
    <w:rsid w:val="008D0ECB"/>
    <w:rsid w:val="008D13DC"/>
    <w:rsid w:val="008D149D"/>
    <w:rsid w:val="008D15C5"/>
    <w:rsid w:val="008D1D2C"/>
    <w:rsid w:val="008D1E23"/>
    <w:rsid w:val="008D2461"/>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5A"/>
    <w:rsid w:val="008E35C0"/>
    <w:rsid w:val="008E3737"/>
    <w:rsid w:val="008E378A"/>
    <w:rsid w:val="008E388C"/>
    <w:rsid w:val="008E3F52"/>
    <w:rsid w:val="008E412D"/>
    <w:rsid w:val="008E427C"/>
    <w:rsid w:val="008E451A"/>
    <w:rsid w:val="008E4820"/>
    <w:rsid w:val="008E494E"/>
    <w:rsid w:val="008E4BA3"/>
    <w:rsid w:val="008E51F3"/>
    <w:rsid w:val="008E5B5F"/>
    <w:rsid w:val="008E5D5A"/>
    <w:rsid w:val="008E5EED"/>
    <w:rsid w:val="008E60B3"/>
    <w:rsid w:val="008E61A8"/>
    <w:rsid w:val="008E6333"/>
    <w:rsid w:val="008E6658"/>
    <w:rsid w:val="008E6788"/>
    <w:rsid w:val="008E6F34"/>
    <w:rsid w:val="008E70B2"/>
    <w:rsid w:val="008E7D88"/>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B9A"/>
    <w:rsid w:val="008F6CD1"/>
    <w:rsid w:val="008F7069"/>
    <w:rsid w:val="008F74EA"/>
    <w:rsid w:val="008F74ED"/>
    <w:rsid w:val="008F7873"/>
    <w:rsid w:val="008F7940"/>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2"/>
    <w:rsid w:val="009061A5"/>
    <w:rsid w:val="009067B8"/>
    <w:rsid w:val="00906EED"/>
    <w:rsid w:val="00907071"/>
    <w:rsid w:val="0090715C"/>
    <w:rsid w:val="00907829"/>
    <w:rsid w:val="009108A7"/>
    <w:rsid w:val="00910ED6"/>
    <w:rsid w:val="00911CAD"/>
    <w:rsid w:val="00911E1A"/>
    <w:rsid w:val="009123B9"/>
    <w:rsid w:val="00912531"/>
    <w:rsid w:val="009138F9"/>
    <w:rsid w:val="00913F4C"/>
    <w:rsid w:val="00913F9C"/>
    <w:rsid w:val="0091404B"/>
    <w:rsid w:val="0091423A"/>
    <w:rsid w:val="00914A5D"/>
    <w:rsid w:val="00914DD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273"/>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6AB9"/>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6DE3"/>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83C"/>
    <w:rsid w:val="00961E6D"/>
    <w:rsid w:val="00961F21"/>
    <w:rsid w:val="009621FF"/>
    <w:rsid w:val="0096292B"/>
    <w:rsid w:val="0096336E"/>
    <w:rsid w:val="00963519"/>
    <w:rsid w:val="0096392B"/>
    <w:rsid w:val="0096397B"/>
    <w:rsid w:val="00963985"/>
    <w:rsid w:val="009640C7"/>
    <w:rsid w:val="0096490E"/>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621"/>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8A6"/>
    <w:rsid w:val="00981D4B"/>
    <w:rsid w:val="009822AF"/>
    <w:rsid w:val="009823A3"/>
    <w:rsid w:val="00982AB4"/>
    <w:rsid w:val="00982B3A"/>
    <w:rsid w:val="00982E67"/>
    <w:rsid w:val="00983061"/>
    <w:rsid w:val="00983223"/>
    <w:rsid w:val="009836A1"/>
    <w:rsid w:val="009838CE"/>
    <w:rsid w:val="00983C41"/>
    <w:rsid w:val="00983DF6"/>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0FA1"/>
    <w:rsid w:val="009917F3"/>
    <w:rsid w:val="00991F39"/>
    <w:rsid w:val="00992624"/>
    <w:rsid w:val="009927C4"/>
    <w:rsid w:val="00992D04"/>
    <w:rsid w:val="00992DA6"/>
    <w:rsid w:val="009930C0"/>
    <w:rsid w:val="0099324C"/>
    <w:rsid w:val="00993627"/>
    <w:rsid w:val="00993658"/>
    <w:rsid w:val="0099367D"/>
    <w:rsid w:val="009936F0"/>
    <w:rsid w:val="009938F2"/>
    <w:rsid w:val="00993B97"/>
    <w:rsid w:val="00993DA5"/>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3FC"/>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D1F"/>
    <w:rsid w:val="009A7E57"/>
    <w:rsid w:val="009B003C"/>
    <w:rsid w:val="009B0097"/>
    <w:rsid w:val="009B0C12"/>
    <w:rsid w:val="009B10C5"/>
    <w:rsid w:val="009B25DC"/>
    <w:rsid w:val="009B3221"/>
    <w:rsid w:val="009B33F1"/>
    <w:rsid w:val="009B346F"/>
    <w:rsid w:val="009B3745"/>
    <w:rsid w:val="009B3C79"/>
    <w:rsid w:val="009B3EEE"/>
    <w:rsid w:val="009B4570"/>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81C"/>
    <w:rsid w:val="009C2FE8"/>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2118"/>
    <w:rsid w:val="009D22EA"/>
    <w:rsid w:val="009D2C43"/>
    <w:rsid w:val="009D327E"/>
    <w:rsid w:val="009D36FD"/>
    <w:rsid w:val="009D3CC0"/>
    <w:rsid w:val="009D3D45"/>
    <w:rsid w:val="009D422C"/>
    <w:rsid w:val="009D4303"/>
    <w:rsid w:val="009D478C"/>
    <w:rsid w:val="009D49A4"/>
    <w:rsid w:val="009D4A8E"/>
    <w:rsid w:val="009D4DA3"/>
    <w:rsid w:val="009D610C"/>
    <w:rsid w:val="009D62E7"/>
    <w:rsid w:val="009D75A4"/>
    <w:rsid w:val="009D766D"/>
    <w:rsid w:val="009D7DD5"/>
    <w:rsid w:val="009D7E31"/>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5CEB"/>
    <w:rsid w:val="009E605E"/>
    <w:rsid w:val="009E641D"/>
    <w:rsid w:val="009E64BF"/>
    <w:rsid w:val="009E653E"/>
    <w:rsid w:val="009E6B0B"/>
    <w:rsid w:val="009E6F6E"/>
    <w:rsid w:val="009E7246"/>
    <w:rsid w:val="009E7677"/>
    <w:rsid w:val="009E792D"/>
    <w:rsid w:val="009E798E"/>
    <w:rsid w:val="009F06F6"/>
    <w:rsid w:val="009F0C38"/>
    <w:rsid w:val="009F0CD1"/>
    <w:rsid w:val="009F1033"/>
    <w:rsid w:val="009F187B"/>
    <w:rsid w:val="009F1933"/>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892"/>
    <w:rsid w:val="00A00E09"/>
    <w:rsid w:val="00A01006"/>
    <w:rsid w:val="00A011BF"/>
    <w:rsid w:val="00A011C6"/>
    <w:rsid w:val="00A01D35"/>
    <w:rsid w:val="00A0267E"/>
    <w:rsid w:val="00A02A7C"/>
    <w:rsid w:val="00A02B26"/>
    <w:rsid w:val="00A03893"/>
    <w:rsid w:val="00A0394B"/>
    <w:rsid w:val="00A03CC8"/>
    <w:rsid w:val="00A0404C"/>
    <w:rsid w:val="00A044F4"/>
    <w:rsid w:val="00A04541"/>
    <w:rsid w:val="00A04846"/>
    <w:rsid w:val="00A04A92"/>
    <w:rsid w:val="00A04D0C"/>
    <w:rsid w:val="00A0519C"/>
    <w:rsid w:val="00A0559E"/>
    <w:rsid w:val="00A05A1F"/>
    <w:rsid w:val="00A05BA9"/>
    <w:rsid w:val="00A05DFF"/>
    <w:rsid w:val="00A05FF8"/>
    <w:rsid w:val="00A066E6"/>
    <w:rsid w:val="00A0687B"/>
    <w:rsid w:val="00A069BD"/>
    <w:rsid w:val="00A06F57"/>
    <w:rsid w:val="00A0738B"/>
    <w:rsid w:val="00A0751A"/>
    <w:rsid w:val="00A07654"/>
    <w:rsid w:val="00A0780A"/>
    <w:rsid w:val="00A07B16"/>
    <w:rsid w:val="00A07D0F"/>
    <w:rsid w:val="00A07EA6"/>
    <w:rsid w:val="00A105DB"/>
    <w:rsid w:val="00A10608"/>
    <w:rsid w:val="00A106FE"/>
    <w:rsid w:val="00A10947"/>
    <w:rsid w:val="00A10B48"/>
    <w:rsid w:val="00A10B6E"/>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743"/>
    <w:rsid w:val="00A14917"/>
    <w:rsid w:val="00A14B5D"/>
    <w:rsid w:val="00A152F7"/>
    <w:rsid w:val="00A15521"/>
    <w:rsid w:val="00A1562F"/>
    <w:rsid w:val="00A15748"/>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6B5"/>
    <w:rsid w:val="00A33C3D"/>
    <w:rsid w:val="00A33C9E"/>
    <w:rsid w:val="00A34A25"/>
    <w:rsid w:val="00A34FD0"/>
    <w:rsid w:val="00A35735"/>
    <w:rsid w:val="00A35A0B"/>
    <w:rsid w:val="00A362CB"/>
    <w:rsid w:val="00A36694"/>
    <w:rsid w:val="00A36DC8"/>
    <w:rsid w:val="00A370C7"/>
    <w:rsid w:val="00A3747D"/>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CF0"/>
    <w:rsid w:val="00A44882"/>
    <w:rsid w:val="00A44AA5"/>
    <w:rsid w:val="00A44AA6"/>
    <w:rsid w:val="00A44B72"/>
    <w:rsid w:val="00A44E28"/>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F0A"/>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6EE"/>
    <w:rsid w:val="00A63800"/>
    <w:rsid w:val="00A63872"/>
    <w:rsid w:val="00A63A07"/>
    <w:rsid w:val="00A63A37"/>
    <w:rsid w:val="00A63A89"/>
    <w:rsid w:val="00A64196"/>
    <w:rsid w:val="00A64B81"/>
    <w:rsid w:val="00A64BC7"/>
    <w:rsid w:val="00A64EB1"/>
    <w:rsid w:val="00A65017"/>
    <w:rsid w:val="00A65354"/>
    <w:rsid w:val="00A65589"/>
    <w:rsid w:val="00A657CF"/>
    <w:rsid w:val="00A65979"/>
    <w:rsid w:val="00A65BE3"/>
    <w:rsid w:val="00A65FBF"/>
    <w:rsid w:val="00A66089"/>
    <w:rsid w:val="00A6681D"/>
    <w:rsid w:val="00A66A5A"/>
    <w:rsid w:val="00A6736A"/>
    <w:rsid w:val="00A677C1"/>
    <w:rsid w:val="00A67A8E"/>
    <w:rsid w:val="00A67AC6"/>
    <w:rsid w:val="00A70A35"/>
    <w:rsid w:val="00A7141F"/>
    <w:rsid w:val="00A71CDC"/>
    <w:rsid w:val="00A71D6B"/>
    <w:rsid w:val="00A723F7"/>
    <w:rsid w:val="00A734AF"/>
    <w:rsid w:val="00A73873"/>
    <w:rsid w:val="00A73D8D"/>
    <w:rsid w:val="00A744A2"/>
    <w:rsid w:val="00A745D9"/>
    <w:rsid w:val="00A74C89"/>
    <w:rsid w:val="00A74E04"/>
    <w:rsid w:val="00A74F6C"/>
    <w:rsid w:val="00A75212"/>
    <w:rsid w:val="00A7538B"/>
    <w:rsid w:val="00A75563"/>
    <w:rsid w:val="00A75857"/>
    <w:rsid w:val="00A75920"/>
    <w:rsid w:val="00A7634B"/>
    <w:rsid w:val="00A7662C"/>
    <w:rsid w:val="00A76696"/>
    <w:rsid w:val="00A76A52"/>
    <w:rsid w:val="00A76BF2"/>
    <w:rsid w:val="00A76FC0"/>
    <w:rsid w:val="00A7702E"/>
    <w:rsid w:val="00A770A5"/>
    <w:rsid w:val="00A7735F"/>
    <w:rsid w:val="00A77594"/>
    <w:rsid w:val="00A77960"/>
    <w:rsid w:val="00A77C0E"/>
    <w:rsid w:val="00A8051B"/>
    <w:rsid w:val="00A806D6"/>
    <w:rsid w:val="00A80915"/>
    <w:rsid w:val="00A80E52"/>
    <w:rsid w:val="00A8115F"/>
    <w:rsid w:val="00A81281"/>
    <w:rsid w:val="00A8135C"/>
    <w:rsid w:val="00A81633"/>
    <w:rsid w:val="00A8172F"/>
    <w:rsid w:val="00A8221B"/>
    <w:rsid w:val="00A82665"/>
    <w:rsid w:val="00A826CD"/>
    <w:rsid w:val="00A8284E"/>
    <w:rsid w:val="00A82DA1"/>
    <w:rsid w:val="00A82FA5"/>
    <w:rsid w:val="00A831F0"/>
    <w:rsid w:val="00A834EC"/>
    <w:rsid w:val="00A8353F"/>
    <w:rsid w:val="00A83710"/>
    <w:rsid w:val="00A83BF1"/>
    <w:rsid w:val="00A83C06"/>
    <w:rsid w:val="00A83C5B"/>
    <w:rsid w:val="00A84298"/>
    <w:rsid w:val="00A8490B"/>
    <w:rsid w:val="00A84E6E"/>
    <w:rsid w:val="00A8513A"/>
    <w:rsid w:val="00A8523D"/>
    <w:rsid w:val="00A853DF"/>
    <w:rsid w:val="00A85661"/>
    <w:rsid w:val="00A85FFF"/>
    <w:rsid w:val="00A869B4"/>
    <w:rsid w:val="00A86ACD"/>
    <w:rsid w:val="00A86AE7"/>
    <w:rsid w:val="00A86D23"/>
    <w:rsid w:val="00A86EEB"/>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2BAC"/>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8D0"/>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4E54"/>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1F2"/>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4B0"/>
    <w:rsid w:val="00AC0B36"/>
    <w:rsid w:val="00AC0CEF"/>
    <w:rsid w:val="00AC1191"/>
    <w:rsid w:val="00AC1281"/>
    <w:rsid w:val="00AC2AEF"/>
    <w:rsid w:val="00AC2D39"/>
    <w:rsid w:val="00AC2D4E"/>
    <w:rsid w:val="00AC2E52"/>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58D"/>
    <w:rsid w:val="00AD1618"/>
    <w:rsid w:val="00AD163D"/>
    <w:rsid w:val="00AD174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3B3"/>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D4E"/>
    <w:rsid w:val="00AE7E0E"/>
    <w:rsid w:val="00AF02D6"/>
    <w:rsid w:val="00AF0536"/>
    <w:rsid w:val="00AF0801"/>
    <w:rsid w:val="00AF13DC"/>
    <w:rsid w:val="00AF1414"/>
    <w:rsid w:val="00AF28B0"/>
    <w:rsid w:val="00AF2A76"/>
    <w:rsid w:val="00AF2D55"/>
    <w:rsid w:val="00AF2DED"/>
    <w:rsid w:val="00AF377C"/>
    <w:rsid w:val="00AF3C80"/>
    <w:rsid w:val="00AF3C8C"/>
    <w:rsid w:val="00AF3D95"/>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66"/>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6F43"/>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2DB"/>
    <w:rsid w:val="00B305C0"/>
    <w:rsid w:val="00B30992"/>
    <w:rsid w:val="00B30C8F"/>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7F2"/>
    <w:rsid w:val="00B35CB3"/>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985"/>
    <w:rsid w:val="00B439FA"/>
    <w:rsid w:val="00B43D4D"/>
    <w:rsid w:val="00B440CF"/>
    <w:rsid w:val="00B443C5"/>
    <w:rsid w:val="00B4472F"/>
    <w:rsid w:val="00B4485B"/>
    <w:rsid w:val="00B45029"/>
    <w:rsid w:val="00B4589B"/>
    <w:rsid w:val="00B45A61"/>
    <w:rsid w:val="00B460AA"/>
    <w:rsid w:val="00B462D6"/>
    <w:rsid w:val="00B46BBB"/>
    <w:rsid w:val="00B47784"/>
    <w:rsid w:val="00B4783F"/>
    <w:rsid w:val="00B47CEF"/>
    <w:rsid w:val="00B47F65"/>
    <w:rsid w:val="00B504F7"/>
    <w:rsid w:val="00B5067D"/>
    <w:rsid w:val="00B51014"/>
    <w:rsid w:val="00B51420"/>
    <w:rsid w:val="00B51526"/>
    <w:rsid w:val="00B51A40"/>
    <w:rsid w:val="00B522A9"/>
    <w:rsid w:val="00B52559"/>
    <w:rsid w:val="00B52646"/>
    <w:rsid w:val="00B529F2"/>
    <w:rsid w:val="00B52AAD"/>
    <w:rsid w:val="00B53EF5"/>
    <w:rsid w:val="00B5428C"/>
    <w:rsid w:val="00B5475E"/>
    <w:rsid w:val="00B54989"/>
    <w:rsid w:val="00B54FA3"/>
    <w:rsid w:val="00B553CF"/>
    <w:rsid w:val="00B555B8"/>
    <w:rsid w:val="00B55ACA"/>
    <w:rsid w:val="00B5612F"/>
    <w:rsid w:val="00B566E0"/>
    <w:rsid w:val="00B5685D"/>
    <w:rsid w:val="00B57861"/>
    <w:rsid w:val="00B57D57"/>
    <w:rsid w:val="00B6015E"/>
    <w:rsid w:val="00B6022F"/>
    <w:rsid w:val="00B60543"/>
    <w:rsid w:val="00B607B8"/>
    <w:rsid w:val="00B60DD7"/>
    <w:rsid w:val="00B60E6E"/>
    <w:rsid w:val="00B60EA9"/>
    <w:rsid w:val="00B61178"/>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46AE"/>
    <w:rsid w:val="00B648DD"/>
    <w:rsid w:val="00B64E48"/>
    <w:rsid w:val="00B652B0"/>
    <w:rsid w:val="00B657B5"/>
    <w:rsid w:val="00B65D1C"/>
    <w:rsid w:val="00B664EC"/>
    <w:rsid w:val="00B66801"/>
    <w:rsid w:val="00B6796C"/>
    <w:rsid w:val="00B67B2B"/>
    <w:rsid w:val="00B67E89"/>
    <w:rsid w:val="00B70333"/>
    <w:rsid w:val="00B70A49"/>
    <w:rsid w:val="00B70DDA"/>
    <w:rsid w:val="00B70EDB"/>
    <w:rsid w:val="00B71A5D"/>
    <w:rsid w:val="00B71F4F"/>
    <w:rsid w:val="00B72184"/>
    <w:rsid w:val="00B7273B"/>
    <w:rsid w:val="00B727B8"/>
    <w:rsid w:val="00B73259"/>
    <w:rsid w:val="00B73453"/>
    <w:rsid w:val="00B737C7"/>
    <w:rsid w:val="00B73801"/>
    <w:rsid w:val="00B741DB"/>
    <w:rsid w:val="00B74921"/>
    <w:rsid w:val="00B74A0D"/>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721"/>
    <w:rsid w:val="00B83AC3"/>
    <w:rsid w:val="00B83DF6"/>
    <w:rsid w:val="00B8408E"/>
    <w:rsid w:val="00B84979"/>
    <w:rsid w:val="00B84BE8"/>
    <w:rsid w:val="00B85E03"/>
    <w:rsid w:val="00B85F67"/>
    <w:rsid w:val="00B86017"/>
    <w:rsid w:val="00B86551"/>
    <w:rsid w:val="00B86557"/>
    <w:rsid w:val="00B86734"/>
    <w:rsid w:val="00B86743"/>
    <w:rsid w:val="00B868FC"/>
    <w:rsid w:val="00B8692C"/>
    <w:rsid w:val="00B86BDC"/>
    <w:rsid w:val="00B86E06"/>
    <w:rsid w:val="00B871F6"/>
    <w:rsid w:val="00B874FB"/>
    <w:rsid w:val="00B8769E"/>
    <w:rsid w:val="00B90DC8"/>
    <w:rsid w:val="00B91356"/>
    <w:rsid w:val="00B919B6"/>
    <w:rsid w:val="00B91E0F"/>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2E69"/>
    <w:rsid w:val="00BA3129"/>
    <w:rsid w:val="00BA33E1"/>
    <w:rsid w:val="00BA380D"/>
    <w:rsid w:val="00BA3974"/>
    <w:rsid w:val="00BA3996"/>
    <w:rsid w:val="00BA3CC9"/>
    <w:rsid w:val="00BA3F29"/>
    <w:rsid w:val="00BA40BE"/>
    <w:rsid w:val="00BA41F5"/>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59B"/>
    <w:rsid w:val="00BA7688"/>
    <w:rsid w:val="00BA7EB0"/>
    <w:rsid w:val="00BA7F8C"/>
    <w:rsid w:val="00BA7F97"/>
    <w:rsid w:val="00BB0528"/>
    <w:rsid w:val="00BB0678"/>
    <w:rsid w:val="00BB070E"/>
    <w:rsid w:val="00BB098C"/>
    <w:rsid w:val="00BB0AFC"/>
    <w:rsid w:val="00BB0B3E"/>
    <w:rsid w:val="00BB0B41"/>
    <w:rsid w:val="00BB0D75"/>
    <w:rsid w:val="00BB142F"/>
    <w:rsid w:val="00BB1966"/>
    <w:rsid w:val="00BB1B24"/>
    <w:rsid w:val="00BB1C4F"/>
    <w:rsid w:val="00BB1D50"/>
    <w:rsid w:val="00BB225D"/>
    <w:rsid w:val="00BB2328"/>
    <w:rsid w:val="00BB3355"/>
    <w:rsid w:val="00BB365A"/>
    <w:rsid w:val="00BB3BDC"/>
    <w:rsid w:val="00BB3DF1"/>
    <w:rsid w:val="00BB3F2A"/>
    <w:rsid w:val="00BB3F4C"/>
    <w:rsid w:val="00BB3F8F"/>
    <w:rsid w:val="00BB424D"/>
    <w:rsid w:val="00BB4A42"/>
    <w:rsid w:val="00BB5321"/>
    <w:rsid w:val="00BB55E4"/>
    <w:rsid w:val="00BB56F2"/>
    <w:rsid w:val="00BB56F3"/>
    <w:rsid w:val="00BB5783"/>
    <w:rsid w:val="00BB5B63"/>
    <w:rsid w:val="00BB60F2"/>
    <w:rsid w:val="00BB61DC"/>
    <w:rsid w:val="00BB6431"/>
    <w:rsid w:val="00BB6472"/>
    <w:rsid w:val="00BB64AE"/>
    <w:rsid w:val="00BB68A4"/>
    <w:rsid w:val="00BB69E9"/>
    <w:rsid w:val="00BB6C81"/>
    <w:rsid w:val="00BB71EC"/>
    <w:rsid w:val="00BB723D"/>
    <w:rsid w:val="00BB724B"/>
    <w:rsid w:val="00BB7634"/>
    <w:rsid w:val="00BC152B"/>
    <w:rsid w:val="00BC169E"/>
    <w:rsid w:val="00BC16BF"/>
    <w:rsid w:val="00BC17BC"/>
    <w:rsid w:val="00BC18B2"/>
    <w:rsid w:val="00BC1A03"/>
    <w:rsid w:val="00BC1A99"/>
    <w:rsid w:val="00BC1CDD"/>
    <w:rsid w:val="00BC201A"/>
    <w:rsid w:val="00BC27E0"/>
    <w:rsid w:val="00BC2AEA"/>
    <w:rsid w:val="00BC2BC7"/>
    <w:rsid w:val="00BC2F45"/>
    <w:rsid w:val="00BC321B"/>
    <w:rsid w:val="00BC344E"/>
    <w:rsid w:val="00BC38B8"/>
    <w:rsid w:val="00BC3C78"/>
    <w:rsid w:val="00BC3CF8"/>
    <w:rsid w:val="00BC3FE8"/>
    <w:rsid w:val="00BC499E"/>
    <w:rsid w:val="00BC4EBA"/>
    <w:rsid w:val="00BC5CE2"/>
    <w:rsid w:val="00BC6582"/>
    <w:rsid w:val="00BC6F66"/>
    <w:rsid w:val="00BC7040"/>
    <w:rsid w:val="00BC70D5"/>
    <w:rsid w:val="00BC71C5"/>
    <w:rsid w:val="00BC7659"/>
    <w:rsid w:val="00BC77C9"/>
    <w:rsid w:val="00BC7A42"/>
    <w:rsid w:val="00BC7DDC"/>
    <w:rsid w:val="00BD013E"/>
    <w:rsid w:val="00BD082C"/>
    <w:rsid w:val="00BD087A"/>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6AAA"/>
    <w:rsid w:val="00BD7629"/>
    <w:rsid w:val="00BD7740"/>
    <w:rsid w:val="00BD7A82"/>
    <w:rsid w:val="00BD7EFB"/>
    <w:rsid w:val="00BD7F9E"/>
    <w:rsid w:val="00BE072F"/>
    <w:rsid w:val="00BE0E51"/>
    <w:rsid w:val="00BE12D2"/>
    <w:rsid w:val="00BE13B8"/>
    <w:rsid w:val="00BE16C6"/>
    <w:rsid w:val="00BE16EF"/>
    <w:rsid w:val="00BE1959"/>
    <w:rsid w:val="00BE197A"/>
    <w:rsid w:val="00BE1A06"/>
    <w:rsid w:val="00BE1D45"/>
    <w:rsid w:val="00BE1DCF"/>
    <w:rsid w:val="00BE269D"/>
    <w:rsid w:val="00BE28FE"/>
    <w:rsid w:val="00BE312F"/>
    <w:rsid w:val="00BE3EA0"/>
    <w:rsid w:val="00BE403F"/>
    <w:rsid w:val="00BE475F"/>
    <w:rsid w:val="00BE5171"/>
    <w:rsid w:val="00BE5519"/>
    <w:rsid w:val="00BE57B1"/>
    <w:rsid w:val="00BE5813"/>
    <w:rsid w:val="00BE5A43"/>
    <w:rsid w:val="00BE63D5"/>
    <w:rsid w:val="00BE65B3"/>
    <w:rsid w:val="00BE6D6F"/>
    <w:rsid w:val="00BE7501"/>
    <w:rsid w:val="00BE7B27"/>
    <w:rsid w:val="00BE7D45"/>
    <w:rsid w:val="00BE7FAF"/>
    <w:rsid w:val="00BF0058"/>
    <w:rsid w:val="00BF0184"/>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A43"/>
    <w:rsid w:val="00BF4B69"/>
    <w:rsid w:val="00BF4D4F"/>
    <w:rsid w:val="00BF56A8"/>
    <w:rsid w:val="00BF60E3"/>
    <w:rsid w:val="00BF6C19"/>
    <w:rsid w:val="00BF6FBF"/>
    <w:rsid w:val="00BF70A1"/>
    <w:rsid w:val="00BF70F8"/>
    <w:rsid w:val="00BF7D39"/>
    <w:rsid w:val="00BF7D43"/>
    <w:rsid w:val="00C0099C"/>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2F4"/>
    <w:rsid w:val="00C039B6"/>
    <w:rsid w:val="00C03B7B"/>
    <w:rsid w:val="00C04B82"/>
    <w:rsid w:val="00C057E0"/>
    <w:rsid w:val="00C05829"/>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589"/>
    <w:rsid w:val="00C11B32"/>
    <w:rsid w:val="00C11C33"/>
    <w:rsid w:val="00C11C73"/>
    <w:rsid w:val="00C11FE5"/>
    <w:rsid w:val="00C11FF6"/>
    <w:rsid w:val="00C1286D"/>
    <w:rsid w:val="00C12E86"/>
    <w:rsid w:val="00C12EB5"/>
    <w:rsid w:val="00C13504"/>
    <w:rsid w:val="00C13757"/>
    <w:rsid w:val="00C13C1B"/>
    <w:rsid w:val="00C13C8A"/>
    <w:rsid w:val="00C13D26"/>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0FC2"/>
    <w:rsid w:val="00C31089"/>
    <w:rsid w:val="00C31206"/>
    <w:rsid w:val="00C31237"/>
    <w:rsid w:val="00C314DF"/>
    <w:rsid w:val="00C3175A"/>
    <w:rsid w:val="00C31895"/>
    <w:rsid w:val="00C319A2"/>
    <w:rsid w:val="00C3208A"/>
    <w:rsid w:val="00C32417"/>
    <w:rsid w:val="00C327D0"/>
    <w:rsid w:val="00C32BB7"/>
    <w:rsid w:val="00C333B7"/>
    <w:rsid w:val="00C336E5"/>
    <w:rsid w:val="00C339DE"/>
    <w:rsid w:val="00C33AA7"/>
    <w:rsid w:val="00C33DCE"/>
    <w:rsid w:val="00C34010"/>
    <w:rsid w:val="00C3463A"/>
    <w:rsid w:val="00C346BB"/>
    <w:rsid w:val="00C346C1"/>
    <w:rsid w:val="00C34C05"/>
    <w:rsid w:val="00C3514E"/>
    <w:rsid w:val="00C353FF"/>
    <w:rsid w:val="00C35659"/>
    <w:rsid w:val="00C3566B"/>
    <w:rsid w:val="00C35675"/>
    <w:rsid w:val="00C35A42"/>
    <w:rsid w:val="00C35B23"/>
    <w:rsid w:val="00C35D4F"/>
    <w:rsid w:val="00C35EFD"/>
    <w:rsid w:val="00C36DAD"/>
    <w:rsid w:val="00C37050"/>
    <w:rsid w:val="00C37493"/>
    <w:rsid w:val="00C37AEC"/>
    <w:rsid w:val="00C37DED"/>
    <w:rsid w:val="00C37F07"/>
    <w:rsid w:val="00C37F85"/>
    <w:rsid w:val="00C37F8D"/>
    <w:rsid w:val="00C4018E"/>
    <w:rsid w:val="00C404D5"/>
    <w:rsid w:val="00C40509"/>
    <w:rsid w:val="00C40876"/>
    <w:rsid w:val="00C40B7D"/>
    <w:rsid w:val="00C41BBD"/>
    <w:rsid w:val="00C41C71"/>
    <w:rsid w:val="00C41CB0"/>
    <w:rsid w:val="00C41CC9"/>
    <w:rsid w:val="00C42130"/>
    <w:rsid w:val="00C42784"/>
    <w:rsid w:val="00C429E1"/>
    <w:rsid w:val="00C43421"/>
    <w:rsid w:val="00C439F0"/>
    <w:rsid w:val="00C43CE7"/>
    <w:rsid w:val="00C44189"/>
    <w:rsid w:val="00C4464F"/>
    <w:rsid w:val="00C447FB"/>
    <w:rsid w:val="00C44ADA"/>
    <w:rsid w:val="00C45A9C"/>
    <w:rsid w:val="00C460F0"/>
    <w:rsid w:val="00C46253"/>
    <w:rsid w:val="00C46B53"/>
    <w:rsid w:val="00C46D57"/>
    <w:rsid w:val="00C46D92"/>
    <w:rsid w:val="00C47073"/>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928"/>
    <w:rsid w:val="00C55ADC"/>
    <w:rsid w:val="00C55B02"/>
    <w:rsid w:val="00C56282"/>
    <w:rsid w:val="00C5638E"/>
    <w:rsid w:val="00C56918"/>
    <w:rsid w:val="00C569CA"/>
    <w:rsid w:val="00C56A29"/>
    <w:rsid w:val="00C5707E"/>
    <w:rsid w:val="00C57A2C"/>
    <w:rsid w:val="00C57CC6"/>
    <w:rsid w:val="00C60062"/>
    <w:rsid w:val="00C601EB"/>
    <w:rsid w:val="00C60EC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6762D"/>
    <w:rsid w:val="00C7040D"/>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4A78"/>
    <w:rsid w:val="00C75004"/>
    <w:rsid w:val="00C755E8"/>
    <w:rsid w:val="00C7576B"/>
    <w:rsid w:val="00C75970"/>
    <w:rsid w:val="00C75AC4"/>
    <w:rsid w:val="00C75B22"/>
    <w:rsid w:val="00C75C9D"/>
    <w:rsid w:val="00C75CD0"/>
    <w:rsid w:val="00C75EF9"/>
    <w:rsid w:val="00C76479"/>
    <w:rsid w:val="00C76816"/>
    <w:rsid w:val="00C76A56"/>
    <w:rsid w:val="00C76A6B"/>
    <w:rsid w:val="00C7731D"/>
    <w:rsid w:val="00C775EF"/>
    <w:rsid w:val="00C7799E"/>
    <w:rsid w:val="00C77DF7"/>
    <w:rsid w:val="00C80547"/>
    <w:rsid w:val="00C80FD1"/>
    <w:rsid w:val="00C8198E"/>
    <w:rsid w:val="00C81AD2"/>
    <w:rsid w:val="00C81B30"/>
    <w:rsid w:val="00C82387"/>
    <w:rsid w:val="00C83CA4"/>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0AE"/>
    <w:rsid w:val="00C94508"/>
    <w:rsid w:val="00C945A6"/>
    <w:rsid w:val="00C945EC"/>
    <w:rsid w:val="00C94C81"/>
    <w:rsid w:val="00C94E45"/>
    <w:rsid w:val="00C95300"/>
    <w:rsid w:val="00C95548"/>
    <w:rsid w:val="00C955AD"/>
    <w:rsid w:val="00C95730"/>
    <w:rsid w:val="00C95962"/>
    <w:rsid w:val="00C95A8A"/>
    <w:rsid w:val="00C95CCD"/>
    <w:rsid w:val="00C95CD4"/>
    <w:rsid w:val="00C964AF"/>
    <w:rsid w:val="00C96A19"/>
    <w:rsid w:val="00C96FE0"/>
    <w:rsid w:val="00C973E2"/>
    <w:rsid w:val="00C975B2"/>
    <w:rsid w:val="00C97AF1"/>
    <w:rsid w:val="00CA09AA"/>
    <w:rsid w:val="00CA0BAF"/>
    <w:rsid w:val="00CA114D"/>
    <w:rsid w:val="00CA1225"/>
    <w:rsid w:val="00CA147D"/>
    <w:rsid w:val="00CA18D2"/>
    <w:rsid w:val="00CA2601"/>
    <w:rsid w:val="00CA2919"/>
    <w:rsid w:val="00CA2A6C"/>
    <w:rsid w:val="00CA2A7E"/>
    <w:rsid w:val="00CA2B09"/>
    <w:rsid w:val="00CA2C56"/>
    <w:rsid w:val="00CA457C"/>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756"/>
    <w:rsid w:val="00CD3B2F"/>
    <w:rsid w:val="00CD3D0C"/>
    <w:rsid w:val="00CD3E10"/>
    <w:rsid w:val="00CD3F09"/>
    <w:rsid w:val="00CD3FAF"/>
    <w:rsid w:val="00CD492B"/>
    <w:rsid w:val="00CD58A4"/>
    <w:rsid w:val="00CD5C02"/>
    <w:rsid w:val="00CD5C1B"/>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2F43"/>
    <w:rsid w:val="00CE3257"/>
    <w:rsid w:val="00CE37BB"/>
    <w:rsid w:val="00CE460D"/>
    <w:rsid w:val="00CE4FAE"/>
    <w:rsid w:val="00CE50E3"/>
    <w:rsid w:val="00CE5180"/>
    <w:rsid w:val="00CE56E1"/>
    <w:rsid w:val="00CE5A7E"/>
    <w:rsid w:val="00CE5E50"/>
    <w:rsid w:val="00CE5F4D"/>
    <w:rsid w:val="00CE697C"/>
    <w:rsid w:val="00CE69F3"/>
    <w:rsid w:val="00CE6AD5"/>
    <w:rsid w:val="00CE6E24"/>
    <w:rsid w:val="00CE733A"/>
    <w:rsid w:val="00CE76BD"/>
    <w:rsid w:val="00CE79BC"/>
    <w:rsid w:val="00CE7E65"/>
    <w:rsid w:val="00CF02AC"/>
    <w:rsid w:val="00CF057C"/>
    <w:rsid w:val="00CF06E6"/>
    <w:rsid w:val="00CF18AB"/>
    <w:rsid w:val="00CF1AA6"/>
    <w:rsid w:val="00CF1CDC"/>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AD0"/>
    <w:rsid w:val="00D00B22"/>
    <w:rsid w:val="00D017EE"/>
    <w:rsid w:val="00D0182B"/>
    <w:rsid w:val="00D0186E"/>
    <w:rsid w:val="00D01C73"/>
    <w:rsid w:val="00D01E6B"/>
    <w:rsid w:val="00D02369"/>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0CB2"/>
    <w:rsid w:val="00D11662"/>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306"/>
    <w:rsid w:val="00D174E5"/>
    <w:rsid w:val="00D17F37"/>
    <w:rsid w:val="00D20171"/>
    <w:rsid w:val="00D202D3"/>
    <w:rsid w:val="00D20F77"/>
    <w:rsid w:val="00D2109E"/>
    <w:rsid w:val="00D215E6"/>
    <w:rsid w:val="00D2171B"/>
    <w:rsid w:val="00D217CE"/>
    <w:rsid w:val="00D22148"/>
    <w:rsid w:val="00D22D2B"/>
    <w:rsid w:val="00D23171"/>
    <w:rsid w:val="00D23214"/>
    <w:rsid w:val="00D2322E"/>
    <w:rsid w:val="00D23556"/>
    <w:rsid w:val="00D2390D"/>
    <w:rsid w:val="00D23972"/>
    <w:rsid w:val="00D23B89"/>
    <w:rsid w:val="00D23CE2"/>
    <w:rsid w:val="00D23EAA"/>
    <w:rsid w:val="00D2592C"/>
    <w:rsid w:val="00D25995"/>
    <w:rsid w:val="00D26199"/>
    <w:rsid w:val="00D261FB"/>
    <w:rsid w:val="00D26283"/>
    <w:rsid w:val="00D263B5"/>
    <w:rsid w:val="00D26586"/>
    <w:rsid w:val="00D268F4"/>
    <w:rsid w:val="00D269DE"/>
    <w:rsid w:val="00D26DBE"/>
    <w:rsid w:val="00D27D74"/>
    <w:rsid w:val="00D27DF2"/>
    <w:rsid w:val="00D27F01"/>
    <w:rsid w:val="00D30B60"/>
    <w:rsid w:val="00D30C46"/>
    <w:rsid w:val="00D30FC7"/>
    <w:rsid w:val="00D31B9F"/>
    <w:rsid w:val="00D31BEA"/>
    <w:rsid w:val="00D32120"/>
    <w:rsid w:val="00D32446"/>
    <w:rsid w:val="00D329ED"/>
    <w:rsid w:val="00D32B6E"/>
    <w:rsid w:val="00D32DEF"/>
    <w:rsid w:val="00D33313"/>
    <w:rsid w:val="00D33410"/>
    <w:rsid w:val="00D33AB3"/>
    <w:rsid w:val="00D33AFC"/>
    <w:rsid w:val="00D33D07"/>
    <w:rsid w:val="00D3410B"/>
    <w:rsid w:val="00D344C9"/>
    <w:rsid w:val="00D3461F"/>
    <w:rsid w:val="00D34992"/>
    <w:rsid w:val="00D34F03"/>
    <w:rsid w:val="00D353FF"/>
    <w:rsid w:val="00D35BE8"/>
    <w:rsid w:val="00D35F15"/>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679"/>
    <w:rsid w:val="00D41901"/>
    <w:rsid w:val="00D41B4E"/>
    <w:rsid w:val="00D41BD5"/>
    <w:rsid w:val="00D41CD0"/>
    <w:rsid w:val="00D420DA"/>
    <w:rsid w:val="00D421D9"/>
    <w:rsid w:val="00D422E4"/>
    <w:rsid w:val="00D429DA"/>
    <w:rsid w:val="00D42B71"/>
    <w:rsid w:val="00D42B88"/>
    <w:rsid w:val="00D435FC"/>
    <w:rsid w:val="00D43888"/>
    <w:rsid w:val="00D43E9E"/>
    <w:rsid w:val="00D43EBE"/>
    <w:rsid w:val="00D440D2"/>
    <w:rsid w:val="00D44232"/>
    <w:rsid w:val="00D4429F"/>
    <w:rsid w:val="00D44336"/>
    <w:rsid w:val="00D448BD"/>
    <w:rsid w:val="00D44A5C"/>
    <w:rsid w:val="00D44A68"/>
    <w:rsid w:val="00D4551B"/>
    <w:rsid w:val="00D45581"/>
    <w:rsid w:val="00D45C69"/>
    <w:rsid w:val="00D45ED8"/>
    <w:rsid w:val="00D46061"/>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B68"/>
    <w:rsid w:val="00D51CBB"/>
    <w:rsid w:val="00D51F84"/>
    <w:rsid w:val="00D51F90"/>
    <w:rsid w:val="00D52200"/>
    <w:rsid w:val="00D525A6"/>
    <w:rsid w:val="00D5294C"/>
    <w:rsid w:val="00D5342F"/>
    <w:rsid w:val="00D53539"/>
    <w:rsid w:val="00D5354F"/>
    <w:rsid w:val="00D53768"/>
    <w:rsid w:val="00D53C63"/>
    <w:rsid w:val="00D540D2"/>
    <w:rsid w:val="00D546AA"/>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D65"/>
    <w:rsid w:val="00D56E86"/>
    <w:rsid w:val="00D57161"/>
    <w:rsid w:val="00D57291"/>
    <w:rsid w:val="00D572B2"/>
    <w:rsid w:val="00D578C5"/>
    <w:rsid w:val="00D57C20"/>
    <w:rsid w:val="00D57F0A"/>
    <w:rsid w:val="00D600BE"/>
    <w:rsid w:val="00D60207"/>
    <w:rsid w:val="00D60BCB"/>
    <w:rsid w:val="00D60CB2"/>
    <w:rsid w:val="00D60DD4"/>
    <w:rsid w:val="00D610A5"/>
    <w:rsid w:val="00D61834"/>
    <w:rsid w:val="00D620D9"/>
    <w:rsid w:val="00D621F8"/>
    <w:rsid w:val="00D62243"/>
    <w:rsid w:val="00D62334"/>
    <w:rsid w:val="00D6278F"/>
    <w:rsid w:val="00D62949"/>
    <w:rsid w:val="00D62CA4"/>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5CAC"/>
    <w:rsid w:val="00D66022"/>
    <w:rsid w:val="00D66065"/>
    <w:rsid w:val="00D662E2"/>
    <w:rsid w:val="00D668FD"/>
    <w:rsid w:val="00D66D54"/>
    <w:rsid w:val="00D66DAA"/>
    <w:rsid w:val="00D67DE2"/>
    <w:rsid w:val="00D67E2B"/>
    <w:rsid w:val="00D7010A"/>
    <w:rsid w:val="00D7040B"/>
    <w:rsid w:val="00D70958"/>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4D2"/>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3401"/>
    <w:rsid w:val="00D838CD"/>
    <w:rsid w:val="00D839E6"/>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BB5"/>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B70"/>
    <w:rsid w:val="00D92CBC"/>
    <w:rsid w:val="00D92FD3"/>
    <w:rsid w:val="00D931F2"/>
    <w:rsid w:val="00D93D5E"/>
    <w:rsid w:val="00D948A0"/>
    <w:rsid w:val="00D94BB0"/>
    <w:rsid w:val="00D94C0C"/>
    <w:rsid w:val="00D94FF3"/>
    <w:rsid w:val="00D95611"/>
    <w:rsid w:val="00D957C0"/>
    <w:rsid w:val="00D95BF0"/>
    <w:rsid w:val="00D95BFF"/>
    <w:rsid w:val="00D95F44"/>
    <w:rsid w:val="00D96193"/>
    <w:rsid w:val="00D96780"/>
    <w:rsid w:val="00D96DD2"/>
    <w:rsid w:val="00D97DCE"/>
    <w:rsid w:val="00D97E86"/>
    <w:rsid w:val="00DA0FC0"/>
    <w:rsid w:val="00DA1D80"/>
    <w:rsid w:val="00DA2046"/>
    <w:rsid w:val="00DA2346"/>
    <w:rsid w:val="00DA23D2"/>
    <w:rsid w:val="00DA25F8"/>
    <w:rsid w:val="00DA27AB"/>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2F7"/>
    <w:rsid w:val="00DA64EB"/>
    <w:rsid w:val="00DA714A"/>
    <w:rsid w:val="00DA71AF"/>
    <w:rsid w:val="00DA727D"/>
    <w:rsid w:val="00DA7A85"/>
    <w:rsid w:val="00DA7B43"/>
    <w:rsid w:val="00DA7BC7"/>
    <w:rsid w:val="00DA7E4C"/>
    <w:rsid w:val="00DB0487"/>
    <w:rsid w:val="00DB0564"/>
    <w:rsid w:val="00DB081D"/>
    <w:rsid w:val="00DB1239"/>
    <w:rsid w:val="00DB1539"/>
    <w:rsid w:val="00DB1F98"/>
    <w:rsid w:val="00DB2551"/>
    <w:rsid w:val="00DB286C"/>
    <w:rsid w:val="00DB2B98"/>
    <w:rsid w:val="00DB2DC2"/>
    <w:rsid w:val="00DB35C7"/>
    <w:rsid w:val="00DB39DE"/>
    <w:rsid w:val="00DB3D52"/>
    <w:rsid w:val="00DB42C3"/>
    <w:rsid w:val="00DB4322"/>
    <w:rsid w:val="00DB4F9D"/>
    <w:rsid w:val="00DB5512"/>
    <w:rsid w:val="00DB5863"/>
    <w:rsid w:val="00DB5A21"/>
    <w:rsid w:val="00DB5A99"/>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E66"/>
    <w:rsid w:val="00DC65D8"/>
    <w:rsid w:val="00DC6A94"/>
    <w:rsid w:val="00DC6B82"/>
    <w:rsid w:val="00DC7073"/>
    <w:rsid w:val="00DC765F"/>
    <w:rsid w:val="00DC7722"/>
    <w:rsid w:val="00DC7890"/>
    <w:rsid w:val="00DC7AE5"/>
    <w:rsid w:val="00DC7E92"/>
    <w:rsid w:val="00DD02C4"/>
    <w:rsid w:val="00DD04E4"/>
    <w:rsid w:val="00DD0877"/>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9C"/>
    <w:rsid w:val="00DD49D3"/>
    <w:rsid w:val="00DD50F2"/>
    <w:rsid w:val="00DD598B"/>
    <w:rsid w:val="00DD59BF"/>
    <w:rsid w:val="00DD5BBE"/>
    <w:rsid w:val="00DD5E8D"/>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E75"/>
    <w:rsid w:val="00DE7012"/>
    <w:rsid w:val="00DE7391"/>
    <w:rsid w:val="00DE7521"/>
    <w:rsid w:val="00DE7CDE"/>
    <w:rsid w:val="00DE7D03"/>
    <w:rsid w:val="00DF02EC"/>
    <w:rsid w:val="00DF0D33"/>
    <w:rsid w:val="00DF0E63"/>
    <w:rsid w:val="00DF1280"/>
    <w:rsid w:val="00DF1300"/>
    <w:rsid w:val="00DF1453"/>
    <w:rsid w:val="00DF1ADA"/>
    <w:rsid w:val="00DF1DE2"/>
    <w:rsid w:val="00DF1FD6"/>
    <w:rsid w:val="00DF26D0"/>
    <w:rsid w:val="00DF2B37"/>
    <w:rsid w:val="00DF2DDB"/>
    <w:rsid w:val="00DF3195"/>
    <w:rsid w:val="00DF32AF"/>
    <w:rsid w:val="00DF3307"/>
    <w:rsid w:val="00DF3492"/>
    <w:rsid w:val="00DF34D6"/>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A52"/>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08C5"/>
    <w:rsid w:val="00E11DCD"/>
    <w:rsid w:val="00E11EB8"/>
    <w:rsid w:val="00E125EE"/>
    <w:rsid w:val="00E12775"/>
    <w:rsid w:val="00E12A5A"/>
    <w:rsid w:val="00E12DAD"/>
    <w:rsid w:val="00E136AE"/>
    <w:rsid w:val="00E136E0"/>
    <w:rsid w:val="00E139D0"/>
    <w:rsid w:val="00E13AA4"/>
    <w:rsid w:val="00E141EA"/>
    <w:rsid w:val="00E143F1"/>
    <w:rsid w:val="00E145E0"/>
    <w:rsid w:val="00E14913"/>
    <w:rsid w:val="00E14BA7"/>
    <w:rsid w:val="00E150B1"/>
    <w:rsid w:val="00E15352"/>
    <w:rsid w:val="00E154A1"/>
    <w:rsid w:val="00E15B4D"/>
    <w:rsid w:val="00E15DF4"/>
    <w:rsid w:val="00E1626E"/>
    <w:rsid w:val="00E164E8"/>
    <w:rsid w:val="00E1654E"/>
    <w:rsid w:val="00E167D4"/>
    <w:rsid w:val="00E172BC"/>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7D"/>
    <w:rsid w:val="00E21CCC"/>
    <w:rsid w:val="00E21F88"/>
    <w:rsid w:val="00E21FD8"/>
    <w:rsid w:val="00E22471"/>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3C7"/>
    <w:rsid w:val="00E31506"/>
    <w:rsid w:val="00E3169E"/>
    <w:rsid w:val="00E31E91"/>
    <w:rsid w:val="00E3222F"/>
    <w:rsid w:val="00E32551"/>
    <w:rsid w:val="00E32556"/>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F47"/>
    <w:rsid w:val="00E360A5"/>
    <w:rsid w:val="00E362BC"/>
    <w:rsid w:val="00E36D92"/>
    <w:rsid w:val="00E377BF"/>
    <w:rsid w:val="00E37C25"/>
    <w:rsid w:val="00E37FDC"/>
    <w:rsid w:val="00E40362"/>
    <w:rsid w:val="00E40DAE"/>
    <w:rsid w:val="00E41479"/>
    <w:rsid w:val="00E41634"/>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50315"/>
    <w:rsid w:val="00E507A2"/>
    <w:rsid w:val="00E509DA"/>
    <w:rsid w:val="00E50ECA"/>
    <w:rsid w:val="00E50FF0"/>
    <w:rsid w:val="00E510B5"/>
    <w:rsid w:val="00E51548"/>
    <w:rsid w:val="00E515A3"/>
    <w:rsid w:val="00E516B4"/>
    <w:rsid w:val="00E51817"/>
    <w:rsid w:val="00E519AF"/>
    <w:rsid w:val="00E51A31"/>
    <w:rsid w:val="00E51ABD"/>
    <w:rsid w:val="00E51E23"/>
    <w:rsid w:val="00E52CCE"/>
    <w:rsid w:val="00E52F76"/>
    <w:rsid w:val="00E5315C"/>
    <w:rsid w:val="00E53370"/>
    <w:rsid w:val="00E538E0"/>
    <w:rsid w:val="00E53AAF"/>
    <w:rsid w:val="00E54D33"/>
    <w:rsid w:val="00E55AEB"/>
    <w:rsid w:val="00E56E29"/>
    <w:rsid w:val="00E5711F"/>
    <w:rsid w:val="00E572CE"/>
    <w:rsid w:val="00E5765B"/>
    <w:rsid w:val="00E57794"/>
    <w:rsid w:val="00E57A3C"/>
    <w:rsid w:val="00E6000E"/>
    <w:rsid w:val="00E602C9"/>
    <w:rsid w:val="00E6043C"/>
    <w:rsid w:val="00E608B7"/>
    <w:rsid w:val="00E60D6F"/>
    <w:rsid w:val="00E60F80"/>
    <w:rsid w:val="00E6132A"/>
    <w:rsid w:val="00E61DAC"/>
    <w:rsid w:val="00E621BE"/>
    <w:rsid w:val="00E624DA"/>
    <w:rsid w:val="00E6275D"/>
    <w:rsid w:val="00E629F9"/>
    <w:rsid w:val="00E62AF2"/>
    <w:rsid w:val="00E62B5D"/>
    <w:rsid w:val="00E62D6E"/>
    <w:rsid w:val="00E630F7"/>
    <w:rsid w:val="00E632B7"/>
    <w:rsid w:val="00E63AF2"/>
    <w:rsid w:val="00E6412A"/>
    <w:rsid w:val="00E64286"/>
    <w:rsid w:val="00E644D5"/>
    <w:rsid w:val="00E64763"/>
    <w:rsid w:val="00E64C11"/>
    <w:rsid w:val="00E64EFB"/>
    <w:rsid w:val="00E65E39"/>
    <w:rsid w:val="00E65E6B"/>
    <w:rsid w:val="00E6640D"/>
    <w:rsid w:val="00E6682F"/>
    <w:rsid w:val="00E67421"/>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90C"/>
    <w:rsid w:val="00E82B9F"/>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A3C"/>
    <w:rsid w:val="00E90F08"/>
    <w:rsid w:val="00E913F0"/>
    <w:rsid w:val="00E91514"/>
    <w:rsid w:val="00E915E1"/>
    <w:rsid w:val="00E919F0"/>
    <w:rsid w:val="00E91BF2"/>
    <w:rsid w:val="00E91DDE"/>
    <w:rsid w:val="00E91E61"/>
    <w:rsid w:val="00E91EFC"/>
    <w:rsid w:val="00E920B8"/>
    <w:rsid w:val="00E9232D"/>
    <w:rsid w:val="00E924C7"/>
    <w:rsid w:val="00E92A07"/>
    <w:rsid w:val="00E92E29"/>
    <w:rsid w:val="00E92F0A"/>
    <w:rsid w:val="00E93168"/>
    <w:rsid w:val="00E9346A"/>
    <w:rsid w:val="00E93A7A"/>
    <w:rsid w:val="00E93B3D"/>
    <w:rsid w:val="00E93D80"/>
    <w:rsid w:val="00E940E1"/>
    <w:rsid w:val="00E942A2"/>
    <w:rsid w:val="00E94307"/>
    <w:rsid w:val="00E94762"/>
    <w:rsid w:val="00E94CE0"/>
    <w:rsid w:val="00E94DEC"/>
    <w:rsid w:val="00E94F4C"/>
    <w:rsid w:val="00E95129"/>
    <w:rsid w:val="00E952D6"/>
    <w:rsid w:val="00E9543A"/>
    <w:rsid w:val="00E954F5"/>
    <w:rsid w:val="00E95754"/>
    <w:rsid w:val="00E95859"/>
    <w:rsid w:val="00E95B52"/>
    <w:rsid w:val="00E95D01"/>
    <w:rsid w:val="00E9627E"/>
    <w:rsid w:val="00E963F1"/>
    <w:rsid w:val="00E9694A"/>
    <w:rsid w:val="00E96B89"/>
    <w:rsid w:val="00E96C84"/>
    <w:rsid w:val="00E96D40"/>
    <w:rsid w:val="00E96EB3"/>
    <w:rsid w:val="00E96FBC"/>
    <w:rsid w:val="00E9738B"/>
    <w:rsid w:val="00E97507"/>
    <w:rsid w:val="00EA0281"/>
    <w:rsid w:val="00EA04AD"/>
    <w:rsid w:val="00EA0BD3"/>
    <w:rsid w:val="00EA0BFA"/>
    <w:rsid w:val="00EA0E04"/>
    <w:rsid w:val="00EA0E05"/>
    <w:rsid w:val="00EA0E10"/>
    <w:rsid w:val="00EA119C"/>
    <w:rsid w:val="00EA1B4A"/>
    <w:rsid w:val="00EA1E52"/>
    <w:rsid w:val="00EA1F8B"/>
    <w:rsid w:val="00EA2271"/>
    <w:rsid w:val="00EA23B9"/>
    <w:rsid w:val="00EA2730"/>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C24"/>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F61"/>
    <w:rsid w:val="00EC117E"/>
    <w:rsid w:val="00EC183D"/>
    <w:rsid w:val="00EC1B6D"/>
    <w:rsid w:val="00EC1D83"/>
    <w:rsid w:val="00EC1E45"/>
    <w:rsid w:val="00EC2E21"/>
    <w:rsid w:val="00EC331F"/>
    <w:rsid w:val="00EC36DD"/>
    <w:rsid w:val="00EC3B1C"/>
    <w:rsid w:val="00EC4602"/>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5122"/>
    <w:rsid w:val="00ED520E"/>
    <w:rsid w:val="00ED54F7"/>
    <w:rsid w:val="00ED58F2"/>
    <w:rsid w:val="00ED63E9"/>
    <w:rsid w:val="00EE03D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02F"/>
    <w:rsid w:val="00EE62B4"/>
    <w:rsid w:val="00EE636D"/>
    <w:rsid w:val="00EE66A2"/>
    <w:rsid w:val="00EE66B1"/>
    <w:rsid w:val="00EE6CC0"/>
    <w:rsid w:val="00EE75D6"/>
    <w:rsid w:val="00EE7838"/>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9FA"/>
    <w:rsid w:val="00EF3A28"/>
    <w:rsid w:val="00EF3A3D"/>
    <w:rsid w:val="00EF3A4A"/>
    <w:rsid w:val="00EF3D43"/>
    <w:rsid w:val="00EF447D"/>
    <w:rsid w:val="00EF493B"/>
    <w:rsid w:val="00EF4F32"/>
    <w:rsid w:val="00EF5326"/>
    <w:rsid w:val="00EF5392"/>
    <w:rsid w:val="00EF5861"/>
    <w:rsid w:val="00EF5A60"/>
    <w:rsid w:val="00EF5B7C"/>
    <w:rsid w:val="00EF6141"/>
    <w:rsid w:val="00EF64A5"/>
    <w:rsid w:val="00EF650F"/>
    <w:rsid w:val="00EF6BC3"/>
    <w:rsid w:val="00EF6EF5"/>
    <w:rsid w:val="00EF73ED"/>
    <w:rsid w:val="00EF7614"/>
    <w:rsid w:val="00EF767A"/>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864"/>
    <w:rsid w:val="00F1089F"/>
    <w:rsid w:val="00F108F5"/>
    <w:rsid w:val="00F10D5A"/>
    <w:rsid w:val="00F11189"/>
    <w:rsid w:val="00F1162A"/>
    <w:rsid w:val="00F1165E"/>
    <w:rsid w:val="00F11CF5"/>
    <w:rsid w:val="00F124CB"/>
    <w:rsid w:val="00F12B3D"/>
    <w:rsid w:val="00F12D63"/>
    <w:rsid w:val="00F12F5C"/>
    <w:rsid w:val="00F1403E"/>
    <w:rsid w:val="00F1415B"/>
    <w:rsid w:val="00F14612"/>
    <w:rsid w:val="00F1476B"/>
    <w:rsid w:val="00F149F8"/>
    <w:rsid w:val="00F14FB8"/>
    <w:rsid w:val="00F15860"/>
    <w:rsid w:val="00F1698C"/>
    <w:rsid w:val="00F16BB1"/>
    <w:rsid w:val="00F17A8F"/>
    <w:rsid w:val="00F20046"/>
    <w:rsid w:val="00F20564"/>
    <w:rsid w:val="00F206FE"/>
    <w:rsid w:val="00F20F5B"/>
    <w:rsid w:val="00F20FE9"/>
    <w:rsid w:val="00F21048"/>
    <w:rsid w:val="00F210AB"/>
    <w:rsid w:val="00F211CB"/>
    <w:rsid w:val="00F21484"/>
    <w:rsid w:val="00F2149C"/>
    <w:rsid w:val="00F215C3"/>
    <w:rsid w:val="00F21857"/>
    <w:rsid w:val="00F218EF"/>
    <w:rsid w:val="00F21A0B"/>
    <w:rsid w:val="00F22444"/>
    <w:rsid w:val="00F227B6"/>
    <w:rsid w:val="00F22C96"/>
    <w:rsid w:val="00F2357F"/>
    <w:rsid w:val="00F23613"/>
    <w:rsid w:val="00F23BD0"/>
    <w:rsid w:val="00F23FCA"/>
    <w:rsid w:val="00F24275"/>
    <w:rsid w:val="00F244C0"/>
    <w:rsid w:val="00F2456B"/>
    <w:rsid w:val="00F24A57"/>
    <w:rsid w:val="00F24A88"/>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A78"/>
    <w:rsid w:val="00F30BE8"/>
    <w:rsid w:val="00F30FF2"/>
    <w:rsid w:val="00F31375"/>
    <w:rsid w:val="00F316ED"/>
    <w:rsid w:val="00F318E7"/>
    <w:rsid w:val="00F31F17"/>
    <w:rsid w:val="00F3236F"/>
    <w:rsid w:val="00F32374"/>
    <w:rsid w:val="00F32F0E"/>
    <w:rsid w:val="00F32F3E"/>
    <w:rsid w:val="00F3372E"/>
    <w:rsid w:val="00F3383E"/>
    <w:rsid w:val="00F33900"/>
    <w:rsid w:val="00F34057"/>
    <w:rsid w:val="00F34286"/>
    <w:rsid w:val="00F342E5"/>
    <w:rsid w:val="00F346BC"/>
    <w:rsid w:val="00F3521B"/>
    <w:rsid w:val="00F35561"/>
    <w:rsid w:val="00F35865"/>
    <w:rsid w:val="00F35E92"/>
    <w:rsid w:val="00F3651B"/>
    <w:rsid w:val="00F36919"/>
    <w:rsid w:val="00F369F3"/>
    <w:rsid w:val="00F36A25"/>
    <w:rsid w:val="00F37089"/>
    <w:rsid w:val="00F370CB"/>
    <w:rsid w:val="00F370E3"/>
    <w:rsid w:val="00F377A2"/>
    <w:rsid w:val="00F37922"/>
    <w:rsid w:val="00F37A1D"/>
    <w:rsid w:val="00F37AEF"/>
    <w:rsid w:val="00F37B48"/>
    <w:rsid w:val="00F408C5"/>
    <w:rsid w:val="00F4125D"/>
    <w:rsid w:val="00F417B8"/>
    <w:rsid w:val="00F4262F"/>
    <w:rsid w:val="00F42910"/>
    <w:rsid w:val="00F42A4D"/>
    <w:rsid w:val="00F42BEE"/>
    <w:rsid w:val="00F42C2B"/>
    <w:rsid w:val="00F42EA2"/>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72B"/>
    <w:rsid w:val="00F5388A"/>
    <w:rsid w:val="00F538CD"/>
    <w:rsid w:val="00F53FAE"/>
    <w:rsid w:val="00F54192"/>
    <w:rsid w:val="00F542D8"/>
    <w:rsid w:val="00F546DB"/>
    <w:rsid w:val="00F548C8"/>
    <w:rsid w:val="00F551B0"/>
    <w:rsid w:val="00F55331"/>
    <w:rsid w:val="00F553A3"/>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4DD"/>
    <w:rsid w:val="00F62EEC"/>
    <w:rsid w:val="00F63289"/>
    <w:rsid w:val="00F63D79"/>
    <w:rsid w:val="00F6404E"/>
    <w:rsid w:val="00F6433C"/>
    <w:rsid w:val="00F6474A"/>
    <w:rsid w:val="00F64966"/>
    <w:rsid w:val="00F64F9F"/>
    <w:rsid w:val="00F660B8"/>
    <w:rsid w:val="00F664DA"/>
    <w:rsid w:val="00F669E3"/>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07D"/>
    <w:rsid w:val="00F76337"/>
    <w:rsid w:val="00F763DF"/>
    <w:rsid w:val="00F766F0"/>
    <w:rsid w:val="00F76B74"/>
    <w:rsid w:val="00F7792A"/>
    <w:rsid w:val="00F77C47"/>
    <w:rsid w:val="00F77CFA"/>
    <w:rsid w:val="00F77F17"/>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5FBC"/>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BDA"/>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7EE"/>
    <w:rsid w:val="00FB381C"/>
    <w:rsid w:val="00FB3CBD"/>
    <w:rsid w:val="00FB3CD6"/>
    <w:rsid w:val="00FB3ED2"/>
    <w:rsid w:val="00FB4065"/>
    <w:rsid w:val="00FB4760"/>
    <w:rsid w:val="00FB47B5"/>
    <w:rsid w:val="00FB4E96"/>
    <w:rsid w:val="00FB52FD"/>
    <w:rsid w:val="00FB5628"/>
    <w:rsid w:val="00FB57A7"/>
    <w:rsid w:val="00FB5A6F"/>
    <w:rsid w:val="00FB6401"/>
    <w:rsid w:val="00FB68CE"/>
    <w:rsid w:val="00FB6B9D"/>
    <w:rsid w:val="00FB6F9E"/>
    <w:rsid w:val="00FB72CB"/>
    <w:rsid w:val="00FB7390"/>
    <w:rsid w:val="00FB77BB"/>
    <w:rsid w:val="00FB7A9C"/>
    <w:rsid w:val="00FC0188"/>
    <w:rsid w:val="00FC022F"/>
    <w:rsid w:val="00FC0AB4"/>
    <w:rsid w:val="00FC0B9B"/>
    <w:rsid w:val="00FC0E12"/>
    <w:rsid w:val="00FC10EB"/>
    <w:rsid w:val="00FC1859"/>
    <w:rsid w:val="00FC2075"/>
    <w:rsid w:val="00FC22FE"/>
    <w:rsid w:val="00FC23FA"/>
    <w:rsid w:val="00FC2458"/>
    <w:rsid w:val="00FC254B"/>
    <w:rsid w:val="00FC2742"/>
    <w:rsid w:val="00FC27DB"/>
    <w:rsid w:val="00FC3039"/>
    <w:rsid w:val="00FC330F"/>
    <w:rsid w:val="00FC33B1"/>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6A7"/>
    <w:rsid w:val="00FC7896"/>
    <w:rsid w:val="00FC7F93"/>
    <w:rsid w:val="00FD091C"/>
    <w:rsid w:val="00FD10D2"/>
    <w:rsid w:val="00FD111E"/>
    <w:rsid w:val="00FD1176"/>
    <w:rsid w:val="00FD14E4"/>
    <w:rsid w:val="00FD1676"/>
    <w:rsid w:val="00FD2804"/>
    <w:rsid w:val="00FD282A"/>
    <w:rsid w:val="00FD2A71"/>
    <w:rsid w:val="00FD2F55"/>
    <w:rsid w:val="00FD305B"/>
    <w:rsid w:val="00FD33B3"/>
    <w:rsid w:val="00FD3905"/>
    <w:rsid w:val="00FD4124"/>
    <w:rsid w:val="00FD4620"/>
    <w:rsid w:val="00FD48FE"/>
    <w:rsid w:val="00FD4CC0"/>
    <w:rsid w:val="00FD54C1"/>
    <w:rsid w:val="00FD5502"/>
    <w:rsid w:val="00FD6318"/>
    <w:rsid w:val="00FD6556"/>
    <w:rsid w:val="00FD6A3D"/>
    <w:rsid w:val="00FD6F1E"/>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834C95"/>
  <w15:chartTrackingRefBased/>
  <w15:docId w15:val="{B6C0A799-7DA9-4234-A6B4-8EBC23692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0C3"/>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9"/>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0FA1"/>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0FA1"/>
    <w:rPr>
      <w:rFonts w:ascii="Arial" w:eastAsia="Times New Roman" w:hAnsi="Arial"/>
      <w:sz w:val="24"/>
      <w:lang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val="en-US"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2"/>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3"/>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ZchnZchn">
    <w:name w:val="Zchn Zchn"/>
    <w:semiHidden/>
    <w:rsid w:val="00C2660B"/>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val="en-US" w:eastAsia="ja-JP" w:bidi="hi-IN"/>
    </w:rPr>
  </w:style>
  <w:style w:type="character" w:customStyle="1" w:styleId="Heading6Char">
    <w:name w:val="Heading 6 Char"/>
    <w:aliases w:val="T1 Char4,Header 6 Char"/>
    <w:link w:val="Heading6"/>
    <w:rsid w:val="00F74059"/>
    <w:rPr>
      <w:rFonts w:ascii="Arial" w:eastAsia="Times New Roman" w:hAnsi="Arial"/>
      <w:lang w:val="en-US"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5"/>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val="en-US" w:eastAsia="ja-JP" w:bidi="hi-IN"/>
    </w:rPr>
  </w:style>
  <w:style w:type="character" w:customStyle="1" w:styleId="Heading9Char">
    <w:name w:val="Heading 9 Char"/>
    <w:link w:val="Heading9"/>
    <w:locked/>
    <w:rsid w:val="00F74059"/>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paragraph" w:customStyle="1" w:styleId="CH">
    <w:name w:val="CH"/>
    <w:basedOn w:val="Normal"/>
    <w:rsid w:val="004A4948"/>
    <w:pPr>
      <w:tabs>
        <w:tab w:val="left" w:pos="2268"/>
        <w:tab w:val="right" w:pos="7920"/>
        <w:tab w:val="right" w:pos="9639"/>
      </w:tabs>
      <w:overflowPunct/>
      <w:autoSpaceDE/>
      <w:autoSpaceDN/>
      <w:adjustRightInd/>
      <w:spacing w:before="0" w:after="0"/>
      <w:textAlignment w:val="auto"/>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16410">
      <w:bodyDiv w:val="1"/>
      <w:marLeft w:val="0"/>
      <w:marRight w:val="0"/>
      <w:marTop w:val="0"/>
      <w:marBottom w:val="0"/>
      <w:divBdr>
        <w:top w:val="none" w:sz="0" w:space="0" w:color="auto"/>
        <w:left w:val="none" w:sz="0" w:space="0" w:color="auto"/>
        <w:bottom w:val="none" w:sz="0" w:space="0" w:color="auto"/>
        <w:right w:val="none" w:sz="0" w:space="0" w:color="auto"/>
      </w:divBdr>
      <w:divsChild>
        <w:div w:id="44257516">
          <w:marLeft w:val="360"/>
          <w:marRight w:val="0"/>
          <w:marTop w:val="0"/>
          <w:marBottom w:val="60"/>
          <w:divBdr>
            <w:top w:val="none" w:sz="0" w:space="0" w:color="auto"/>
            <w:left w:val="none" w:sz="0" w:space="0" w:color="auto"/>
            <w:bottom w:val="none" w:sz="0" w:space="0" w:color="auto"/>
            <w:right w:val="none" w:sz="0" w:space="0" w:color="auto"/>
          </w:divBdr>
        </w:div>
        <w:div w:id="322318241">
          <w:marLeft w:val="907"/>
          <w:marRight w:val="0"/>
          <w:marTop w:val="0"/>
          <w:marBottom w:val="60"/>
          <w:divBdr>
            <w:top w:val="none" w:sz="0" w:space="0" w:color="auto"/>
            <w:left w:val="none" w:sz="0" w:space="0" w:color="auto"/>
            <w:bottom w:val="none" w:sz="0" w:space="0" w:color="auto"/>
            <w:right w:val="none" w:sz="0" w:space="0" w:color="auto"/>
          </w:divBdr>
        </w:div>
        <w:div w:id="872694512">
          <w:marLeft w:val="360"/>
          <w:marRight w:val="0"/>
          <w:marTop w:val="0"/>
          <w:marBottom w:val="60"/>
          <w:divBdr>
            <w:top w:val="none" w:sz="0" w:space="0" w:color="auto"/>
            <w:left w:val="none" w:sz="0" w:space="0" w:color="auto"/>
            <w:bottom w:val="none" w:sz="0" w:space="0" w:color="auto"/>
            <w:right w:val="none" w:sz="0" w:space="0" w:color="auto"/>
          </w:divBdr>
        </w:div>
        <w:div w:id="981302307">
          <w:marLeft w:val="907"/>
          <w:marRight w:val="0"/>
          <w:marTop w:val="0"/>
          <w:marBottom w:val="60"/>
          <w:divBdr>
            <w:top w:val="none" w:sz="0" w:space="0" w:color="auto"/>
            <w:left w:val="none" w:sz="0" w:space="0" w:color="auto"/>
            <w:bottom w:val="none" w:sz="0" w:space="0" w:color="auto"/>
            <w:right w:val="none" w:sz="0" w:space="0" w:color="auto"/>
          </w:divBdr>
        </w:div>
        <w:div w:id="1105616117">
          <w:marLeft w:val="360"/>
          <w:marRight w:val="0"/>
          <w:marTop w:val="0"/>
          <w:marBottom w:val="60"/>
          <w:divBdr>
            <w:top w:val="none" w:sz="0" w:space="0" w:color="auto"/>
            <w:left w:val="none" w:sz="0" w:space="0" w:color="auto"/>
            <w:bottom w:val="none" w:sz="0" w:space="0" w:color="auto"/>
            <w:right w:val="none" w:sz="0" w:space="0" w:color="auto"/>
          </w:divBdr>
        </w:div>
        <w:div w:id="1338919781">
          <w:marLeft w:val="360"/>
          <w:marRight w:val="0"/>
          <w:marTop w:val="0"/>
          <w:marBottom w:val="6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6975136">
      <w:bodyDiv w:val="1"/>
      <w:marLeft w:val="0"/>
      <w:marRight w:val="0"/>
      <w:marTop w:val="0"/>
      <w:marBottom w:val="0"/>
      <w:divBdr>
        <w:top w:val="none" w:sz="0" w:space="0" w:color="auto"/>
        <w:left w:val="none" w:sz="0" w:space="0" w:color="auto"/>
        <w:bottom w:val="none" w:sz="0" w:space="0" w:color="auto"/>
        <w:right w:val="none" w:sz="0" w:space="0" w:color="auto"/>
      </w:divBdr>
      <w:divsChild>
        <w:div w:id="469130472">
          <w:marLeft w:val="1267"/>
          <w:marRight w:val="0"/>
          <w:marTop w:val="86"/>
          <w:marBottom w:val="0"/>
          <w:divBdr>
            <w:top w:val="none" w:sz="0" w:space="0" w:color="auto"/>
            <w:left w:val="none" w:sz="0" w:space="0" w:color="auto"/>
            <w:bottom w:val="none" w:sz="0" w:space="0" w:color="auto"/>
            <w:right w:val="none" w:sz="0" w:space="0" w:color="auto"/>
          </w:divBdr>
        </w:div>
        <w:div w:id="673924174">
          <w:marLeft w:val="1267"/>
          <w:marRight w:val="0"/>
          <w:marTop w:val="86"/>
          <w:marBottom w:val="0"/>
          <w:divBdr>
            <w:top w:val="none" w:sz="0" w:space="0" w:color="auto"/>
            <w:left w:val="none" w:sz="0" w:space="0" w:color="auto"/>
            <w:bottom w:val="none" w:sz="0" w:space="0" w:color="auto"/>
            <w:right w:val="none" w:sz="0" w:space="0" w:color="auto"/>
          </w:divBdr>
        </w:div>
        <w:div w:id="870260181">
          <w:marLeft w:val="1987"/>
          <w:marRight w:val="0"/>
          <w:marTop w:val="86"/>
          <w:marBottom w:val="0"/>
          <w:divBdr>
            <w:top w:val="none" w:sz="0" w:space="0" w:color="auto"/>
            <w:left w:val="none" w:sz="0" w:space="0" w:color="auto"/>
            <w:bottom w:val="none" w:sz="0" w:space="0" w:color="auto"/>
            <w:right w:val="none" w:sz="0" w:space="0" w:color="auto"/>
          </w:divBdr>
        </w:div>
        <w:div w:id="977882297">
          <w:marLeft w:val="547"/>
          <w:marRight w:val="0"/>
          <w:marTop w:val="96"/>
          <w:marBottom w:val="0"/>
          <w:divBdr>
            <w:top w:val="none" w:sz="0" w:space="0" w:color="auto"/>
            <w:left w:val="none" w:sz="0" w:space="0" w:color="auto"/>
            <w:bottom w:val="none" w:sz="0" w:space="0" w:color="auto"/>
            <w:right w:val="none" w:sz="0" w:space="0" w:color="auto"/>
          </w:divBdr>
        </w:div>
        <w:div w:id="978458208">
          <w:marLeft w:val="547"/>
          <w:marRight w:val="0"/>
          <w:marTop w:val="96"/>
          <w:marBottom w:val="0"/>
          <w:divBdr>
            <w:top w:val="none" w:sz="0" w:space="0" w:color="auto"/>
            <w:left w:val="none" w:sz="0" w:space="0" w:color="auto"/>
            <w:bottom w:val="none" w:sz="0" w:space="0" w:color="auto"/>
            <w:right w:val="none" w:sz="0" w:space="0" w:color="auto"/>
          </w:divBdr>
        </w:div>
        <w:div w:id="1212771716">
          <w:marLeft w:val="1987"/>
          <w:marRight w:val="0"/>
          <w:marTop w:val="86"/>
          <w:marBottom w:val="0"/>
          <w:divBdr>
            <w:top w:val="none" w:sz="0" w:space="0" w:color="auto"/>
            <w:left w:val="none" w:sz="0" w:space="0" w:color="auto"/>
            <w:bottom w:val="none" w:sz="0" w:space="0" w:color="auto"/>
            <w:right w:val="none" w:sz="0" w:space="0" w:color="auto"/>
          </w:divBdr>
        </w:div>
        <w:div w:id="1974359319">
          <w:marLeft w:val="1987"/>
          <w:marRight w:val="0"/>
          <w:marTop w:val="86"/>
          <w:marBottom w:val="0"/>
          <w:divBdr>
            <w:top w:val="none" w:sz="0" w:space="0" w:color="auto"/>
            <w:left w:val="none" w:sz="0" w:space="0" w:color="auto"/>
            <w:bottom w:val="none" w:sz="0" w:space="0" w:color="auto"/>
            <w:right w:val="none" w:sz="0" w:space="0" w:color="auto"/>
          </w:divBdr>
        </w:div>
        <w:div w:id="2060548492">
          <w:marLeft w:val="1987"/>
          <w:marRight w:val="0"/>
          <w:marTop w:val="86"/>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2754654">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39805571">
      <w:bodyDiv w:val="1"/>
      <w:marLeft w:val="0"/>
      <w:marRight w:val="0"/>
      <w:marTop w:val="0"/>
      <w:marBottom w:val="0"/>
      <w:divBdr>
        <w:top w:val="none" w:sz="0" w:space="0" w:color="auto"/>
        <w:left w:val="none" w:sz="0" w:space="0" w:color="auto"/>
        <w:bottom w:val="none" w:sz="0" w:space="0" w:color="auto"/>
        <w:right w:val="none" w:sz="0" w:space="0" w:color="auto"/>
      </w:divBdr>
      <w:divsChild>
        <w:div w:id="1236167387">
          <w:marLeft w:val="360"/>
          <w:marRight w:val="0"/>
          <w:marTop w:val="120"/>
          <w:marBottom w:val="0"/>
          <w:divBdr>
            <w:top w:val="none" w:sz="0" w:space="0" w:color="auto"/>
            <w:left w:val="none" w:sz="0" w:space="0" w:color="auto"/>
            <w:bottom w:val="none" w:sz="0" w:space="0" w:color="auto"/>
            <w:right w:val="none" w:sz="0" w:space="0" w:color="auto"/>
          </w:divBdr>
        </w:div>
        <w:div w:id="1434352039">
          <w:marLeft w:val="360"/>
          <w:marRight w:val="0"/>
          <w:marTop w:val="120"/>
          <w:marBottom w:val="0"/>
          <w:divBdr>
            <w:top w:val="none" w:sz="0" w:space="0" w:color="auto"/>
            <w:left w:val="none" w:sz="0" w:space="0" w:color="auto"/>
            <w:bottom w:val="none" w:sz="0" w:space="0" w:color="auto"/>
            <w:right w:val="none" w:sz="0" w:space="0" w:color="auto"/>
          </w:divBdr>
        </w:div>
        <w:div w:id="1865514467">
          <w:marLeft w:val="360"/>
          <w:marRight w:val="0"/>
          <w:marTop w:val="12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353199">
      <w:bodyDiv w:val="1"/>
      <w:marLeft w:val="0"/>
      <w:marRight w:val="0"/>
      <w:marTop w:val="0"/>
      <w:marBottom w:val="0"/>
      <w:divBdr>
        <w:top w:val="none" w:sz="0" w:space="0" w:color="auto"/>
        <w:left w:val="none" w:sz="0" w:space="0" w:color="auto"/>
        <w:bottom w:val="none" w:sz="0" w:space="0" w:color="auto"/>
        <w:right w:val="none" w:sz="0" w:space="0" w:color="auto"/>
      </w:divBdr>
      <w:divsChild>
        <w:div w:id="70735342">
          <w:marLeft w:val="360"/>
          <w:marRight w:val="0"/>
          <w:marTop w:val="120"/>
          <w:marBottom w:val="0"/>
          <w:divBdr>
            <w:top w:val="none" w:sz="0" w:space="0" w:color="auto"/>
            <w:left w:val="none" w:sz="0" w:space="0" w:color="auto"/>
            <w:bottom w:val="none" w:sz="0" w:space="0" w:color="auto"/>
            <w:right w:val="none" w:sz="0" w:space="0" w:color="auto"/>
          </w:divBdr>
        </w:div>
        <w:div w:id="1490975479">
          <w:marLeft w:val="360"/>
          <w:marRight w:val="0"/>
          <w:marTop w:val="120"/>
          <w:marBottom w:val="0"/>
          <w:divBdr>
            <w:top w:val="none" w:sz="0" w:space="0" w:color="auto"/>
            <w:left w:val="none" w:sz="0" w:space="0" w:color="auto"/>
            <w:bottom w:val="none" w:sz="0" w:space="0" w:color="auto"/>
            <w:right w:val="none" w:sz="0" w:space="0" w:color="auto"/>
          </w:divBdr>
        </w:div>
        <w:div w:id="1532035085">
          <w:marLeft w:val="360"/>
          <w:marRight w:val="0"/>
          <w:marTop w:val="120"/>
          <w:marBottom w:val="0"/>
          <w:divBdr>
            <w:top w:val="none" w:sz="0" w:space="0" w:color="auto"/>
            <w:left w:val="none" w:sz="0" w:space="0" w:color="auto"/>
            <w:bottom w:val="none" w:sz="0" w:space="0" w:color="auto"/>
            <w:right w:val="none" w:sz="0" w:space="0" w:color="auto"/>
          </w:divBdr>
        </w:div>
        <w:div w:id="1546789387">
          <w:marLeft w:val="360"/>
          <w:marRight w:val="0"/>
          <w:marTop w:val="120"/>
          <w:marBottom w:val="0"/>
          <w:divBdr>
            <w:top w:val="none" w:sz="0" w:space="0" w:color="auto"/>
            <w:left w:val="none" w:sz="0" w:space="0" w:color="auto"/>
            <w:bottom w:val="none" w:sz="0" w:space="0" w:color="auto"/>
            <w:right w:val="none" w:sz="0" w:space="0" w:color="auto"/>
          </w:divBdr>
        </w:div>
      </w:divsChild>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79404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0277277">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9676801">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8656241">
      <w:bodyDiv w:val="1"/>
      <w:marLeft w:val="0"/>
      <w:marRight w:val="0"/>
      <w:marTop w:val="0"/>
      <w:marBottom w:val="0"/>
      <w:divBdr>
        <w:top w:val="none" w:sz="0" w:space="0" w:color="auto"/>
        <w:left w:val="none" w:sz="0" w:space="0" w:color="auto"/>
        <w:bottom w:val="none" w:sz="0" w:space="0" w:color="auto"/>
        <w:right w:val="none" w:sz="0" w:space="0" w:color="auto"/>
      </w:divBdr>
      <w:divsChild>
        <w:div w:id="82804142">
          <w:marLeft w:val="1166"/>
          <w:marRight w:val="0"/>
          <w:marTop w:val="67"/>
          <w:marBottom w:val="0"/>
          <w:divBdr>
            <w:top w:val="none" w:sz="0" w:space="0" w:color="auto"/>
            <w:left w:val="none" w:sz="0" w:space="0" w:color="auto"/>
            <w:bottom w:val="none" w:sz="0" w:space="0" w:color="auto"/>
            <w:right w:val="none" w:sz="0" w:space="0" w:color="auto"/>
          </w:divBdr>
        </w:div>
        <w:div w:id="119106545">
          <w:marLeft w:val="1166"/>
          <w:marRight w:val="0"/>
          <w:marTop w:val="77"/>
          <w:marBottom w:val="0"/>
          <w:divBdr>
            <w:top w:val="none" w:sz="0" w:space="0" w:color="auto"/>
            <w:left w:val="none" w:sz="0" w:space="0" w:color="auto"/>
            <w:bottom w:val="none" w:sz="0" w:space="0" w:color="auto"/>
            <w:right w:val="none" w:sz="0" w:space="0" w:color="auto"/>
          </w:divBdr>
        </w:div>
        <w:div w:id="206727828">
          <w:marLeft w:val="1166"/>
          <w:marRight w:val="0"/>
          <w:marTop w:val="67"/>
          <w:marBottom w:val="0"/>
          <w:divBdr>
            <w:top w:val="none" w:sz="0" w:space="0" w:color="auto"/>
            <w:left w:val="none" w:sz="0" w:space="0" w:color="auto"/>
            <w:bottom w:val="none" w:sz="0" w:space="0" w:color="auto"/>
            <w:right w:val="none" w:sz="0" w:space="0" w:color="auto"/>
          </w:divBdr>
        </w:div>
        <w:div w:id="213781871">
          <w:marLeft w:val="1166"/>
          <w:marRight w:val="0"/>
          <w:marTop w:val="77"/>
          <w:marBottom w:val="0"/>
          <w:divBdr>
            <w:top w:val="none" w:sz="0" w:space="0" w:color="auto"/>
            <w:left w:val="none" w:sz="0" w:space="0" w:color="auto"/>
            <w:bottom w:val="none" w:sz="0" w:space="0" w:color="auto"/>
            <w:right w:val="none" w:sz="0" w:space="0" w:color="auto"/>
          </w:divBdr>
        </w:div>
        <w:div w:id="230777556">
          <w:marLeft w:val="1166"/>
          <w:marRight w:val="0"/>
          <w:marTop w:val="67"/>
          <w:marBottom w:val="0"/>
          <w:divBdr>
            <w:top w:val="none" w:sz="0" w:space="0" w:color="auto"/>
            <w:left w:val="none" w:sz="0" w:space="0" w:color="auto"/>
            <w:bottom w:val="none" w:sz="0" w:space="0" w:color="auto"/>
            <w:right w:val="none" w:sz="0" w:space="0" w:color="auto"/>
          </w:divBdr>
        </w:div>
        <w:div w:id="250624368">
          <w:marLeft w:val="1166"/>
          <w:marRight w:val="0"/>
          <w:marTop w:val="77"/>
          <w:marBottom w:val="0"/>
          <w:divBdr>
            <w:top w:val="none" w:sz="0" w:space="0" w:color="auto"/>
            <w:left w:val="none" w:sz="0" w:space="0" w:color="auto"/>
            <w:bottom w:val="none" w:sz="0" w:space="0" w:color="auto"/>
            <w:right w:val="none" w:sz="0" w:space="0" w:color="auto"/>
          </w:divBdr>
        </w:div>
        <w:div w:id="259721061">
          <w:marLeft w:val="1166"/>
          <w:marRight w:val="0"/>
          <w:marTop w:val="67"/>
          <w:marBottom w:val="0"/>
          <w:divBdr>
            <w:top w:val="none" w:sz="0" w:space="0" w:color="auto"/>
            <w:left w:val="none" w:sz="0" w:space="0" w:color="auto"/>
            <w:bottom w:val="none" w:sz="0" w:space="0" w:color="auto"/>
            <w:right w:val="none" w:sz="0" w:space="0" w:color="auto"/>
          </w:divBdr>
        </w:div>
        <w:div w:id="286469117">
          <w:marLeft w:val="547"/>
          <w:marRight w:val="0"/>
          <w:marTop w:val="86"/>
          <w:marBottom w:val="0"/>
          <w:divBdr>
            <w:top w:val="none" w:sz="0" w:space="0" w:color="auto"/>
            <w:left w:val="none" w:sz="0" w:space="0" w:color="auto"/>
            <w:bottom w:val="none" w:sz="0" w:space="0" w:color="auto"/>
            <w:right w:val="none" w:sz="0" w:space="0" w:color="auto"/>
          </w:divBdr>
        </w:div>
        <w:div w:id="339703241">
          <w:marLeft w:val="1166"/>
          <w:marRight w:val="0"/>
          <w:marTop w:val="67"/>
          <w:marBottom w:val="0"/>
          <w:divBdr>
            <w:top w:val="none" w:sz="0" w:space="0" w:color="auto"/>
            <w:left w:val="none" w:sz="0" w:space="0" w:color="auto"/>
            <w:bottom w:val="none" w:sz="0" w:space="0" w:color="auto"/>
            <w:right w:val="none" w:sz="0" w:space="0" w:color="auto"/>
          </w:divBdr>
        </w:div>
        <w:div w:id="471871262">
          <w:marLeft w:val="547"/>
          <w:marRight w:val="0"/>
          <w:marTop w:val="86"/>
          <w:marBottom w:val="0"/>
          <w:divBdr>
            <w:top w:val="none" w:sz="0" w:space="0" w:color="auto"/>
            <w:left w:val="none" w:sz="0" w:space="0" w:color="auto"/>
            <w:bottom w:val="none" w:sz="0" w:space="0" w:color="auto"/>
            <w:right w:val="none" w:sz="0" w:space="0" w:color="auto"/>
          </w:divBdr>
        </w:div>
        <w:div w:id="511798167">
          <w:marLeft w:val="547"/>
          <w:marRight w:val="0"/>
          <w:marTop w:val="86"/>
          <w:marBottom w:val="0"/>
          <w:divBdr>
            <w:top w:val="none" w:sz="0" w:space="0" w:color="auto"/>
            <w:left w:val="none" w:sz="0" w:space="0" w:color="auto"/>
            <w:bottom w:val="none" w:sz="0" w:space="0" w:color="auto"/>
            <w:right w:val="none" w:sz="0" w:space="0" w:color="auto"/>
          </w:divBdr>
        </w:div>
        <w:div w:id="549541313">
          <w:marLeft w:val="1166"/>
          <w:marRight w:val="0"/>
          <w:marTop w:val="67"/>
          <w:marBottom w:val="0"/>
          <w:divBdr>
            <w:top w:val="none" w:sz="0" w:space="0" w:color="auto"/>
            <w:left w:val="none" w:sz="0" w:space="0" w:color="auto"/>
            <w:bottom w:val="none" w:sz="0" w:space="0" w:color="auto"/>
            <w:right w:val="none" w:sz="0" w:space="0" w:color="auto"/>
          </w:divBdr>
        </w:div>
        <w:div w:id="708073312">
          <w:marLeft w:val="1166"/>
          <w:marRight w:val="0"/>
          <w:marTop w:val="67"/>
          <w:marBottom w:val="0"/>
          <w:divBdr>
            <w:top w:val="none" w:sz="0" w:space="0" w:color="auto"/>
            <w:left w:val="none" w:sz="0" w:space="0" w:color="auto"/>
            <w:bottom w:val="none" w:sz="0" w:space="0" w:color="auto"/>
            <w:right w:val="none" w:sz="0" w:space="0" w:color="auto"/>
          </w:divBdr>
        </w:div>
        <w:div w:id="818813260">
          <w:marLeft w:val="1166"/>
          <w:marRight w:val="0"/>
          <w:marTop w:val="67"/>
          <w:marBottom w:val="0"/>
          <w:divBdr>
            <w:top w:val="none" w:sz="0" w:space="0" w:color="auto"/>
            <w:left w:val="none" w:sz="0" w:space="0" w:color="auto"/>
            <w:bottom w:val="none" w:sz="0" w:space="0" w:color="auto"/>
            <w:right w:val="none" w:sz="0" w:space="0" w:color="auto"/>
          </w:divBdr>
        </w:div>
        <w:div w:id="925503454">
          <w:marLeft w:val="1166"/>
          <w:marRight w:val="0"/>
          <w:marTop w:val="77"/>
          <w:marBottom w:val="0"/>
          <w:divBdr>
            <w:top w:val="none" w:sz="0" w:space="0" w:color="auto"/>
            <w:left w:val="none" w:sz="0" w:space="0" w:color="auto"/>
            <w:bottom w:val="none" w:sz="0" w:space="0" w:color="auto"/>
            <w:right w:val="none" w:sz="0" w:space="0" w:color="auto"/>
          </w:divBdr>
        </w:div>
        <w:div w:id="975915167">
          <w:marLeft w:val="1166"/>
          <w:marRight w:val="0"/>
          <w:marTop w:val="77"/>
          <w:marBottom w:val="0"/>
          <w:divBdr>
            <w:top w:val="none" w:sz="0" w:space="0" w:color="auto"/>
            <w:left w:val="none" w:sz="0" w:space="0" w:color="auto"/>
            <w:bottom w:val="none" w:sz="0" w:space="0" w:color="auto"/>
            <w:right w:val="none" w:sz="0" w:space="0" w:color="auto"/>
          </w:divBdr>
        </w:div>
        <w:div w:id="1042249597">
          <w:marLeft w:val="1166"/>
          <w:marRight w:val="0"/>
          <w:marTop w:val="67"/>
          <w:marBottom w:val="0"/>
          <w:divBdr>
            <w:top w:val="none" w:sz="0" w:space="0" w:color="auto"/>
            <w:left w:val="none" w:sz="0" w:space="0" w:color="auto"/>
            <w:bottom w:val="none" w:sz="0" w:space="0" w:color="auto"/>
            <w:right w:val="none" w:sz="0" w:space="0" w:color="auto"/>
          </w:divBdr>
        </w:div>
        <w:div w:id="1109544698">
          <w:marLeft w:val="1166"/>
          <w:marRight w:val="0"/>
          <w:marTop w:val="67"/>
          <w:marBottom w:val="0"/>
          <w:divBdr>
            <w:top w:val="none" w:sz="0" w:space="0" w:color="auto"/>
            <w:left w:val="none" w:sz="0" w:space="0" w:color="auto"/>
            <w:bottom w:val="none" w:sz="0" w:space="0" w:color="auto"/>
            <w:right w:val="none" w:sz="0" w:space="0" w:color="auto"/>
          </w:divBdr>
        </w:div>
        <w:div w:id="1162544817">
          <w:marLeft w:val="1166"/>
          <w:marRight w:val="0"/>
          <w:marTop w:val="77"/>
          <w:marBottom w:val="0"/>
          <w:divBdr>
            <w:top w:val="none" w:sz="0" w:space="0" w:color="auto"/>
            <w:left w:val="none" w:sz="0" w:space="0" w:color="auto"/>
            <w:bottom w:val="none" w:sz="0" w:space="0" w:color="auto"/>
            <w:right w:val="none" w:sz="0" w:space="0" w:color="auto"/>
          </w:divBdr>
        </w:div>
        <w:div w:id="1166750822">
          <w:marLeft w:val="1166"/>
          <w:marRight w:val="0"/>
          <w:marTop w:val="77"/>
          <w:marBottom w:val="0"/>
          <w:divBdr>
            <w:top w:val="none" w:sz="0" w:space="0" w:color="auto"/>
            <w:left w:val="none" w:sz="0" w:space="0" w:color="auto"/>
            <w:bottom w:val="none" w:sz="0" w:space="0" w:color="auto"/>
            <w:right w:val="none" w:sz="0" w:space="0" w:color="auto"/>
          </w:divBdr>
        </w:div>
        <w:div w:id="1189443082">
          <w:marLeft w:val="547"/>
          <w:marRight w:val="0"/>
          <w:marTop w:val="86"/>
          <w:marBottom w:val="0"/>
          <w:divBdr>
            <w:top w:val="none" w:sz="0" w:space="0" w:color="auto"/>
            <w:left w:val="none" w:sz="0" w:space="0" w:color="auto"/>
            <w:bottom w:val="none" w:sz="0" w:space="0" w:color="auto"/>
            <w:right w:val="none" w:sz="0" w:space="0" w:color="auto"/>
          </w:divBdr>
        </w:div>
        <w:div w:id="1202130278">
          <w:marLeft w:val="1166"/>
          <w:marRight w:val="0"/>
          <w:marTop w:val="77"/>
          <w:marBottom w:val="0"/>
          <w:divBdr>
            <w:top w:val="none" w:sz="0" w:space="0" w:color="auto"/>
            <w:left w:val="none" w:sz="0" w:space="0" w:color="auto"/>
            <w:bottom w:val="none" w:sz="0" w:space="0" w:color="auto"/>
            <w:right w:val="none" w:sz="0" w:space="0" w:color="auto"/>
          </w:divBdr>
        </w:div>
        <w:div w:id="1415011721">
          <w:marLeft w:val="1166"/>
          <w:marRight w:val="0"/>
          <w:marTop w:val="77"/>
          <w:marBottom w:val="0"/>
          <w:divBdr>
            <w:top w:val="none" w:sz="0" w:space="0" w:color="auto"/>
            <w:left w:val="none" w:sz="0" w:space="0" w:color="auto"/>
            <w:bottom w:val="none" w:sz="0" w:space="0" w:color="auto"/>
            <w:right w:val="none" w:sz="0" w:space="0" w:color="auto"/>
          </w:divBdr>
        </w:div>
        <w:div w:id="1428306291">
          <w:marLeft w:val="1166"/>
          <w:marRight w:val="0"/>
          <w:marTop w:val="77"/>
          <w:marBottom w:val="0"/>
          <w:divBdr>
            <w:top w:val="none" w:sz="0" w:space="0" w:color="auto"/>
            <w:left w:val="none" w:sz="0" w:space="0" w:color="auto"/>
            <w:bottom w:val="none" w:sz="0" w:space="0" w:color="auto"/>
            <w:right w:val="none" w:sz="0" w:space="0" w:color="auto"/>
          </w:divBdr>
        </w:div>
        <w:div w:id="1466196187">
          <w:marLeft w:val="547"/>
          <w:marRight w:val="0"/>
          <w:marTop w:val="86"/>
          <w:marBottom w:val="0"/>
          <w:divBdr>
            <w:top w:val="none" w:sz="0" w:space="0" w:color="auto"/>
            <w:left w:val="none" w:sz="0" w:space="0" w:color="auto"/>
            <w:bottom w:val="none" w:sz="0" w:space="0" w:color="auto"/>
            <w:right w:val="none" w:sz="0" w:space="0" w:color="auto"/>
          </w:divBdr>
        </w:div>
        <w:div w:id="1549754197">
          <w:marLeft w:val="1166"/>
          <w:marRight w:val="0"/>
          <w:marTop w:val="77"/>
          <w:marBottom w:val="0"/>
          <w:divBdr>
            <w:top w:val="none" w:sz="0" w:space="0" w:color="auto"/>
            <w:left w:val="none" w:sz="0" w:space="0" w:color="auto"/>
            <w:bottom w:val="none" w:sz="0" w:space="0" w:color="auto"/>
            <w:right w:val="none" w:sz="0" w:space="0" w:color="auto"/>
          </w:divBdr>
        </w:div>
        <w:div w:id="1756246877">
          <w:marLeft w:val="1166"/>
          <w:marRight w:val="0"/>
          <w:marTop w:val="77"/>
          <w:marBottom w:val="0"/>
          <w:divBdr>
            <w:top w:val="none" w:sz="0" w:space="0" w:color="auto"/>
            <w:left w:val="none" w:sz="0" w:space="0" w:color="auto"/>
            <w:bottom w:val="none" w:sz="0" w:space="0" w:color="auto"/>
            <w:right w:val="none" w:sz="0" w:space="0" w:color="auto"/>
          </w:divBdr>
        </w:div>
        <w:div w:id="1769040904">
          <w:marLeft w:val="1166"/>
          <w:marRight w:val="0"/>
          <w:marTop w:val="77"/>
          <w:marBottom w:val="0"/>
          <w:divBdr>
            <w:top w:val="none" w:sz="0" w:space="0" w:color="auto"/>
            <w:left w:val="none" w:sz="0" w:space="0" w:color="auto"/>
            <w:bottom w:val="none" w:sz="0" w:space="0" w:color="auto"/>
            <w:right w:val="none" w:sz="0" w:space="0" w:color="auto"/>
          </w:divBdr>
        </w:div>
        <w:div w:id="1794252119">
          <w:marLeft w:val="547"/>
          <w:marRight w:val="0"/>
          <w:marTop w:val="86"/>
          <w:marBottom w:val="0"/>
          <w:divBdr>
            <w:top w:val="none" w:sz="0" w:space="0" w:color="auto"/>
            <w:left w:val="none" w:sz="0" w:space="0" w:color="auto"/>
            <w:bottom w:val="none" w:sz="0" w:space="0" w:color="auto"/>
            <w:right w:val="none" w:sz="0" w:space="0" w:color="auto"/>
          </w:divBdr>
        </w:div>
        <w:div w:id="1839150942">
          <w:marLeft w:val="1166"/>
          <w:marRight w:val="0"/>
          <w:marTop w:val="67"/>
          <w:marBottom w:val="0"/>
          <w:divBdr>
            <w:top w:val="none" w:sz="0" w:space="0" w:color="auto"/>
            <w:left w:val="none" w:sz="0" w:space="0" w:color="auto"/>
            <w:bottom w:val="none" w:sz="0" w:space="0" w:color="auto"/>
            <w:right w:val="none" w:sz="0" w:space="0" w:color="auto"/>
          </w:divBdr>
        </w:div>
        <w:div w:id="1852334605">
          <w:marLeft w:val="1166"/>
          <w:marRight w:val="0"/>
          <w:marTop w:val="67"/>
          <w:marBottom w:val="0"/>
          <w:divBdr>
            <w:top w:val="none" w:sz="0" w:space="0" w:color="auto"/>
            <w:left w:val="none" w:sz="0" w:space="0" w:color="auto"/>
            <w:bottom w:val="none" w:sz="0" w:space="0" w:color="auto"/>
            <w:right w:val="none" w:sz="0" w:space="0" w:color="auto"/>
          </w:divBdr>
        </w:div>
      </w:divsChild>
    </w:div>
    <w:div w:id="66224333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7652833">
      <w:bodyDiv w:val="1"/>
      <w:marLeft w:val="0"/>
      <w:marRight w:val="0"/>
      <w:marTop w:val="0"/>
      <w:marBottom w:val="0"/>
      <w:divBdr>
        <w:top w:val="none" w:sz="0" w:space="0" w:color="auto"/>
        <w:left w:val="none" w:sz="0" w:space="0" w:color="auto"/>
        <w:bottom w:val="none" w:sz="0" w:space="0" w:color="auto"/>
        <w:right w:val="none" w:sz="0" w:space="0" w:color="auto"/>
      </w:divBdr>
      <w:divsChild>
        <w:div w:id="361907742">
          <w:marLeft w:val="1166"/>
          <w:marRight w:val="0"/>
          <w:marTop w:val="96"/>
          <w:marBottom w:val="0"/>
          <w:divBdr>
            <w:top w:val="none" w:sz="0" w:space="0" w:color="auto"/>
            <w:left w:val="none" w:sz="0" w:space="0" w:color="auto"/>
            <w:bottom w:val="none" w:sz="0" w:space="0" w:color="auto"/>
            <w:right w:val="none" w:sz="0" w:space="0" w:color="auto"/>
          </w:divBdr>
        </w:div>
        <w:div w:id="1111897095">
          <w:marLeft w:val="1800"/>
          <w:marRight w:val="0"/>
          <w:marTop w:val="86"/>
          <w:marBottom w:val="0"/>
          <w:divBdr>
            <w:top w:val="none" w:sz="0" w:space="0" w:color="auto"/>
            <w:left w:val="none" w:sz="0" w:space="0" w:color="auto"/>
            <w:bottom w:val="none" w:sz="0" w:space="0" w:color="auto"/>
            <w:right w:val="none" w:sz="0" w:space="0" w:color="auto"/>
          </w:divBdr>
        </w:div>
        <w:div w:id="1207522970">
          <w:marLeft w:val="547"/>
          <w:marRight w:val="0"/>
          <w:marTop w:val="115"/>
          <w:marBottom w:val="0"/>
          <w:divBdr>
            <w:top w:val="none" w:sz="0" w:space="0" w:color="auto"/>
            <w:left w:val="none" w:sz="0" w:space="0" w:color="auto"/>
            <w:bottom w:val="none" w:sz="0" w:space="0" w:color="auto"/>
            <w:right w:val="none" w:sz="0" w:space="0" w:color="auto"/>
          </w:divBdr>
        </w:div>
        <w:div w:id="1368801469">
          <w:marLeft w:val="2520"/>
          <w:marRight w:val="0"/>
          <w:marTop w:val="77"/>
          <w:marBottom w:val="0"/>
          <w:divBdr>
            <w:top w:val="none" w:sz="0" w:space="0" w:color="auto"/>
            <w:left w:val="none" w:sz="0" w:space="0" w:color="auto"/>
            <w:bottom w:val="none" w:sz="0" w:space="0" w:color="auto"/>
            <w:right w:val="none" w:sz="0" w:space="0" w:color="auto"/>
          </w:divBdr>
        </w:div>
        <w:div w:id="1665205832">
          <w:marLeft w:val="547"/>
          <w:marRight w:val="0"/>
          <w:marTop w:val="115"/>
          <w:marBottom w:val="0"/>
          <w:divBdr>
            <w:top w:val="none" w:sz="0" w:space="0" w:color="auto"/>
            <w:left w:val="none" w:sz="0" w:space="0" w:color="auto"/>
            <w:bottom w:val="none" w:sz="0" w:space="0" w:color="auto"/>
            <w:right w:val="none" w:sz="0" w:space="0" w:color="auto"/>
          </w:divBdr>
        </w:div>
        <w:div w:id="1774855860">
          <w:marLeft w:val="547"/>
          <w:marRight w:val="0"/>
          <w:marTop w:val="115"/>
          <w:marBottom w:val="0"/>
          <w:divBdr>
            <w:top w:val="none" w:sz="0" w:space="0" w:color="auto"/>
            <w:left w:val="none" w:sz="0" w:space="0" w:color="auto"/>
            <w:bottom w:val="none" w:sz="0" w:space="0" w:color="auto"/>
            <w:right w:val="none" w:sz="0" w:space="0" w:color="auto"/>
          </w:divBdr>
        </w:div>
        <w:div w:id="2059350790">
          <w:marLeft w:val="1166"/>
          <w:marRight w:val="0"/>
          <w:marTop w:val="96"/>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3882179">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417547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6613672">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523731">
      <w:bodyDiv w:val="1"/>
      <w:marLeft w:val="0"/>
      <w:marRight w:val="0"/>
      <w:marTop w:val="0"/>
      <w:marBottom w:val="0"/>
      <w:divBdr>
        <w:top w:val="none" w:sz="0" w:space="0" w:color="auto"/>
        <w:left w:val="none" w:sz="0" w:space="0" w:color="auto"/>
        <w:bottom w:val="none" w:sz="0" w:space="0" w:color="auto"/>
        <w:right w:val="none" w:sz="0" w:space="0" w:color="auto"/>
      </w:divBdr>
      <w:divsChild>
        <w:div w:id="476386383">
          <w:marLeft w:val="547"/>
          <w:marRight w:val="0"/>
          <w:marTop w:val="115"/>
          <w:marBottom w:val="0"/>
          <w:divBdr>
            <w:top w:val="none" w:sz="0" w:space="0" w:color="auto"/>
            <w:left w:val="none" w:sz="0" w:space="0" w:color="auto"/>
            <w:bottom w:val="none" w:sz="0" w:space="0" w:color="auto"/>
            <w:right w:val="none" w:sz="0" w:space="0" w:color="auto"/>
          </w:divBdr>
        </w:div>
        <w:div w:id="526482265">
          <w:marLeft w:val="2520"/>
          <w:marRight w:val="0"/>
          <w:marTop w:val="77"/>
          <w:marBottom w:val="0"/>
          <w:divBdr>
            <w:top w:val="none" w:sz="0" w:space="0" w:color="auto"/>
            <w:left w:val="none" w:sz="0" w:space="0" w:color="auto"/>
            <w:bottom w:val="none" w:sz="0" w:space="0" w:color="auto"/>
            <w:right w:val="none" w:sz="0" w:space="0" w:color="auto"/>
          </w:divBdr>
        </w:div>
        <w:div w:id="748619301">
          <w:marLeft w:val="547"/>
          <w:marRight w:val="0"/>
          <w:marTop w:val="115"/>
          <w:marBottom w:val="0"/>
          <w:divBdr>
            <w:top w:val="none" w:sz="0" w:space="0" w:color="auto"/>
            <w:left w:val="none" w:sz="0" w:space="0" w:color="auto"/>
            <w:bottom w:val="none" w:sz="0" w:space="0" w:color="auto"/>
            <w:right w:val="none" w:sz="0" w:space="0" w:color="auto"/>
          </w:divBdr>
        </w:div>
        <w:div w:id="918714898">
          <w:marLeft w:val="1166"/>
          <w:marRight w:val="0"/>
          <w:marTop w:val="96"/>
          <w:marBottom w:val="0"/>
          <w:divBdr>
            <w:top w:val="none" w:sz="0" w:space="0" w:color="auto"/>
            <w:left w:val="none" w:sz="0" w:space="0" w:color="auto"/>
            <w:bottom w:val="none" w:sz="0" w:space="0" w:color="auto"/>
            <w:right w:val="none" w:sz="0" w:space="0" w:color="auto"/>
          </w:divBdr>
        </w:div>
        <w:div w:id="1481385153">
          <w:marLeft w:val="1800"/>
          <w:marRight w:val="0"/>
          <w:marTop w:val="86"/>
          <w:marBottom w:val="0"/>
          <w:divBdr>
            <w:top w:val="none" w:sz="0" w:space="0" w:color="auto"/>
            <w:left w:val="none" w:sz="0" w:space="0" w:color="auto"/>
            <w:bottom w:val="none" w:sz="0" w:space="0" w:color="auto"/>
            <w:right w:val="none" w:sz="0" w:space="0" w:color="auto"/>
          </w:divBdr>
        </w:div>
        <w:div w:id="1567257764">
          <w:marLeft w:val="547"/>
          <w:marRight w:val="0"/>
          <w:marTop w:val="115"/>
          <w:marBottom w:val="0"/>
          <w:divBdr>
            <w:top w:val="none" w:sz="0" w:space="0" w:color="auto"/>
            <w:left w:val="none" w:sz="0" w:space="0" w:color="auto"/>
            <w:bottom w:val="none" w:sz="0" w:space="0" w:color="auto"/>
            <w:right w:val="none" w:sz="0" w:space="0" w:color="auto"/>
          </w:divBdr>
        </w:div>
        <w:div w:id="1657880277">
          <w:marLeft w:val="1166"/>
          <w:marRight w:val="0"/>
          <w:marTop w:val="96"/>
          <w:marBottom w:val="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324175">
      <w:bodyDiv w:val="1"/>
      <w:marLeft w:val="0"/>
      <w:marRight w:val="0"/>
      <w:marTop w:val="0"/>
      <w:marBottom w:val="0"/>
      <w:divBdr>
        <w:top w:val="none" w:sz="0" w:space="0" w:color="auto"/>
        <w:left w:val="none" w:sz="0" w:space="0" w:color="auto"/>
        <w:bottom w:val="none" w:sz="0" w:space="0" w:color="auto"/>
        <w:right w:val="none" w:sz="0" w:space="0" w:color="auto"/>
      </w:divBdr>
      <w:divsChild>
        <w:div w:id="121852627">
          <w:marLeft w:val="907"/>
          <w:marRight w:val="0"/>
          <w:marTop w:val="0"/>
          <w:marBottom w:val="90"/>
          <w:divBdr>
            <w:top w:val="none" w:sz="0" w:space="0" w:color="auto"/>
            <w:left w:val="none" w:sz="0" w:space="0" w:color="auto"/>
            <w:bottom w:val="none" w:sz="0" w:space="0" w:color="auto"/>
            <w:right w:val="none" w:sz="0" w:space="0" w:color="auto"/>
          </w:divBdr>
        </w:div>
        <w:div w:id="466167436">
          <w:marLeft w:val="907"/>
          <w:marRight w:val="0"/>
          <w:marTop w:val="0"/>
          <w:marBottom w:val="90"/>
          <w:divBdr>
            <w:top w:val="none" w:sz="0" w:space="0" w:color="auto"/>
            <w:left w:val="none" w:sz="0" w:space="0" w:color="auto"/>
            <w:bottom w:val="none" w:sz="0" w:space="0" w:color="auto"/>
            <w:right w:val="none" w:sz="0" w:space="0" w:color="auto"/>
          </w:divBdr>
        </w:div>
        <w:div w:id="824511009">
          <w:marLeft w:val="360"/>
          <w:marRight w:val="0"/>
          <w:marTop w:val="0"/>
          <w:marBottom w:val="120"/>
          <w:divBdr>
            <w:top w:val="none" w:sz="0" w:space="0" w:color="auto"/>
            <w:left w:val="none" w:sz="0" w:space="0" w:color="auto"/>
            <w:bottom w:val="none" w:sz="0" w:space="0" w:color="auto"/>
            <w:right w:val="none" w:sz="0" w:space="0" w:color="auto"/>
          </w:divBdr>
        </w:div>
        <w:div w:id="1225330636">
          <w:marLeft w:val="360"/>
          <w:marRight w:val="0"/>
          <w:marTop w:val="0"/>
          <w:marBottom w:val="90"/>
          <w:divBdr>
            <w:top w:val="none" w:sz="0" w:space="0" w:color="auto"/>
            <w:left w:val="none" w:sz="0" w:space="0" w:color="auto"/>
            <w:bottom w:val="none" w:sz="0" w:space="0" w:color="auto"/>
            <w:right w:val="none" w:sz="0" w:space="0" w:color="auto"/>
          </w:divBdr>
        </w:div>
        <w:div w:id="1232690198">
          <w:marLeft w:val="360"/>
          <w:marRight w:val="0"/>
          <w:marTop w:val="0"/>
          <w:marBottom w:val="120"/>
          <w:divBdr>
            <w:top w:val="none" w:sz="0" w:space="0" w:color="auto"/>
            <w:left w:val="none" w:sz="0" w:space="0" w:color="auto"/>
            <w:bottom w:val="none" w:sz="0" w:space="0" w:color="auto"/>
            <w:right w:val="none" w:sz="0" w:space="0" w:color="auto"/>
          </w:divBdr>
        </w:div>
        <w:div w:id="1262181170">
          <w:marLeft w:val="360"/>
          <w:marRight w:val="0"/>
          <w:marTop w:val="0"/>
          <w:marBottom w:val="90"/>
          <w:divBdr>
            <w:top w:val="none" w:sz="0" w:space="0" w:color="auto"/>
            <w:left w:val="none" w:sz="0" w:space="0" w:color="auto"/>
            <w:bottom w:val="none" w:sz="0" w:space="0" w:color="auto"/>
            <w:right w:val="none" w:sz="0" w:space="0" w:color="auto"/>
          </w:divBdr>
        </w:div>
        <w:div w:id="1266117567">
          <w:marLeft w:val="907"/>
          <w:marRight w:val="0"/>
          <w:marTop w:val="0"/>
          <w:marBottom w:val="90"/>
          <w:divBdr>
            <w:top w:val="none" w:sz="0" w:space="0" w:color="auto"/>
            <w:left w:val="none" w:sz="0" w:space="0" w:color="auto"/>
            <w:bottom w:val="none" w:sz="0" w:space="0" w:color="auto"/>
            <w:right w:val="none" w:sz="0" w:space="0" w:color="auto"/>
          </w:divBdr>
        </w:div>
        <w:div w:id="1451364915">
          <w:marLeft w:val="907"/>
          <w:marRight w:val="0"/>
          <w:marTop w:val="0"/>
          <w:marBottom w:val="90"/>
          <w:divBdr>
            <w:top w:val="none" w:sz="0" w:space="0" w:color="auto"/>
            <w:left w:val="none" w:sz="0" w:space="0" w:color="auto"/>
            <w:bottom w:val="none" w:sz="0" w:space="0" w:color="auto"/>
            <w:right w:val="none" w:sz="0" w:space="0" w:color="auto"/>
          </w:divBdr>
        </w:div>
        <w:div w:id="1548566325">
          <w:marLeft w:val="360"/>
          <w:marRight w:val="0"/>
          <w:marTop w:val="0"/>
          <w:marBottom w:val="90"/>
          <w:divBdr>
            <w:top w:val="none" w:sz="0" w:space="0" w:color="auto"/>
            <w:left w:val="none" w:sz="0" w:space="0" w:color="auto"/>
            <w:bottom w:val="none" w:sz="0" w:space="0" w:color="auto"/>
            <w:right w:val="none" w:sz="0" w:space="0" w:color="auto"/>
          </w:divBdr>
        </w:div>
        <w:div w:id="1659189057">
          <w:marLeft w:val="360"/>
          <w:marRight w:val="0"/>
          <w:marTop w:val="0"/>
          <w:marBottom w:val="90"/>
          <w:divBdr>
            <w:top w:val="none" w:sz="0" w:space="0" w:color="auto"/>
            <w:left w:val="none" w:sz="0" w:space="0" w:color="auto"/>
            <w:bottom w:val="none" w:sz="0" w:space="0" w:color="auto"/>
            <w:right w:val="none" w:sz="0" w:space="0" w:color="auto"/>
          </w:divBdr>
        </w:div>
        <w:div w:id="1833333584">
          <w:marLeft w:val="907"/>
          <w:marRight w:val="0"/>
          <w:marTop w:val="0"/>
          <w:marBottom w:val="90"/>
          <w:divBdr>
            <w:top w:val="none" w:sz="0" w:space="0" w:color="auto"/>
            <w:left w:val="none" w:sz="0" w:space="0" w:color="auto"/>
            <w:bottom w:val="none" w:sz="0" w:space="0" w:color="auto"/>
            <w:right w:val="none" w:sz="0" w:space="0" w:color="auto"/>
          </w:divBdr>
        </w:div>
        <w:div w:id="1976250476">
          <w:marLeft w:val="907"/>
          <w:marRight w:val="0"/>
          <w:marTop w:val="0"/>
          <w:marBottom w:val="90"/>
          <w:divBdr>
            <w:top w:val="none" w:sz="0" w:space="0" w:color="auto"/>
            <w:left w:val="none" w:sz="0" w:space="0" w:color="auto"/>
            <w:bottom w:val="none" w:sz="0" w:space="0" w:color="auto"/>
            <w:right w:val="none" w:sz="0" w:space="0" w:color="auto"/>
          </w:divBdr>
        </w:div>
        <w:div w:id="2042588329">
          <w:marLeft w:val="360"/>
          <w:marRight w:val="0"/>
          <w:marTop w:val="0"/>
          <w:marBottom w:val="90"/>
          <w:divBdr>
            <w:top w:val="none" w:sz="0" w:space="0" w:color="auto"/>
            <w:left w:val="none" w:sz="0" w:space="0" w:color="auto"/>
            <w:bottom w:val="none" w:sz="0" w:space="0" w:color="auto"/>
            <w:right w:val="none" w:sz="0" w:space="0" w:color="auto"/>
          </w:divBdr>
        </w:div>
        <w:div w:id="2097049842">
          <w:marLeft w:val="360"/>
          <w:marRight w:val="0"/>
          <w:marTop w:val="0"/>
          <w:marBottom w:val="90"/>
          <w:divBdr>
            <w:top w:val="none" w:sz="0" w:space="0" w:color="auto"/>
            <w:left w:val="none" w:sz="0" w:space="0" w:color="auto"/>
            <w:bottom w:val="none" w:sz="0" w:space="0" w:color="auto"/>
            <w:right w:val="none" w:sz="0" w:space="0" w:color="auto"/>
          </w:divBdr>
        </w:div>
      </w:divsChild>
    </w:div>
    <w:div w:id="112611839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3832975">
      <w:bodyDiv w:val="1"/>
      <w:marLeft w:val="0"/>
      <w:marRight w:val="0"/>
      <w:marTop w:val="0"/>
      <w:marBottom w:val="0"/>
      <w:divBdr>
        <w:top w:val="none" w:sz="0" w:space="0" w:color="auto"/>
        <w:left w:val="none" w:sz="0" w:space="0" w:color="auto"/>
        <w:bottom w:val="none" w:sz="0" w:space="0" w:color="auto"/>
        <w:right w:val="none" w:sz="0" w:space="0" w:color="auto"/>
      </w:divBdr>
      <w:divsChild>
        <w:div w:id="134295697">
          <w:marLeft w:val="547"/>
          <w:marRight w:val="0"/>
          <w:marTop w:val="115"/>
          <w:marBottom w:val="0"/>
          <w:divBdr>
            <w:top w:val="none" w:sz="0" w:space="0" w:color="auto"/>
            <w:left w:val="none" w:sz="0" w:space="0" w:color="auto"/>
            <w:bottom w:val="none" w:sz="0" w:space="0" w:color="auto"/>
            <w:right w:val="none" w:sz="0" w:space="0" w:color="auto"/>
          </w:divBdr>
        </w:div>
        <w:div w:id="632294053">
          <w:marLeft w:val="547"/>
          <w:marRight w:val="0"/>
          <w:marTop w:val="115"/>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88910081">
      <w:bodyDiv w:val="1"/>
      <w:marLeft w:val="0"/>
      <w:marRight w:val="0"/>
      <w:marTop w:val="0"/>
      <w:marBottom w:val="0"/>
      <w:divBdr>
        <w:top w:val="none" w:sz="0" w:space="0" w:color="auto"/>
        <w:left w:val="none" w:sz="0" w:space="0" w:color="auto"/>
        <w:bottom w:val="none" w:sz="0" w:space="0" w:color="auto"/>
        <w:right w:val="none" w:sz="0" w:space="0" w:color="auto"/>
      </w:divBdr>
      <w:divsChild>
        <w:div w:id="1215585604">
          <w:marLeft w:val="1166"/>
          <w:marRight w:val="0"/>
          <w:marTop w:val="86"/>
          <w:marBottom w:val="0"/>
          <w:divBdr>
            <w:top w:val="none" w:sz="0" w:space="0" w:color="auto"/>
            <w:left w:val="none" w:sz="0" w:space="0" w:color="auto"/>
            <w:bottom w:val="none" w:sz="0" w:space="0" w:color="auto"/>
            <w:right w:val="none" w:sz="0" w:space="0" w:color="auto"/>
          </w:divBdr>
        </w:div>
        <w:div w:id="1683900826">
          <w:marLeft w:val="1800"/>
          <w:marRight w:val="0"/>
          <w:marTop w:val="86"/>
          <w:marBottom w:val="0"/>
          <w:divBdr>
            <w:top w:val="none" w:sz="0" w:space="0" w:color="auto"/>
            <w:left w:val="none" w:sz="0" w:space="0" w:color="auto"/>
            <w:bottom w:val="none" w:sz="0" w:space="0" w:color="auto"/>
            <w:right w:val="none" w:sz="0" w:space="0" w:color="auto"/>
          </w:divBdr>
        </w:div>
        <w:div w:id="2010332052">
          <w:marLeft w:val="1166"/>
          <w:marRight w:val="0"/>
          <w:marTop w:val="86"/>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144538">
      <w:bodyDiv w:val="1"/>
      <w:marLeft w:val="0"/>
      <w:marRight w:val="0"/>
      <w:marTop w:val="0"/>
      <w:marBottom w:val="0"/>
      <w:divBdr>
        <w:top w:val="none" w:sz="0" w:space="0" w:color="auto"/>
        <w:left w:val="none" w:sz="0" w:space="0" w:color="auto"/>
        <w:bottom w:val="none" w:sz="0" w:space="0" w:color="auto"/>
        <w:right w:val="none" w:sz="0" w:space="0" w:color="auto"/>
      </w:divBdr>
      <w:divsChild>
        <w:div w:id="429396298">
          <w:marLeft w:val="360"/>
          <w:marRight w:val="0"/>
          <w:marTop w:val="0"/>
          <w:marBottom w:val="6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78100346">
      <w:bodyDiv w:val="1"/>
      <w:marLeft w:val="0"/>
      <w:marRight w:val="0"/>
      <w:marTop w:val="0"/>
      <w:marBottom w:val="0"/>
      <w:divBdr>
        <w:top w:val="none" w:sz="0" w:space="0" w:color="auto"/>
        <w:left w:val="none" w:sz="0" w:space="0" w:color="auto"/>
        <w:bottom w:val="none" w:sz="0" w:space="0" w:color="auto"/>
        <w:right w:val="none" w:sz="0" w:space="0" w:color="auto"/>
      </w:divBdr>
      <w:divsChild>
        <w:div w:id="430200440">
          <w:marLeft w:val="360"/>
          <w:marRight w:val="0"/>
          <w:marTop w:val="120"/>
          <w:marBottom w:val="0"/>
          <w:divBdr>
            <w:top w:val="none" w:sz="0" w:space="0" w:color="auto"/>
            <w:left w:val="none" w:sz="0" w:space="0" w:color="auto"/>
            <w:bottom w:val="none" w:sz="0" w:space="0" w:color="auto"/>
            <w:right w:val="none" w:sz="0" w:space="0" w:color="auto"/>
          </w:divBdr>
        </w:div>
        <w:div w:id="1400206403">
          <w:marLeft w:val="360"/>
          <w:marRight w:val="0"/>
          <w:marTop w:val="120"/>
          <w:marBottom w:val="0"/>
          <w:divBdr>
            <w:top w:val="none" w:sz="0" w:space="0" w:color="auto"/>
            <w:left w:val="none" w:sz="0" w:space="0" w:color="auto"/>
            <w:bottom w:val="none" w:sz="0" w:space="0" w:color="auto"/>
            <w:right w:val="none" w:sz="0" w:space="0" w:color="auto"/>
          </w:divBdr>
        </w:div>
        <w:div w:id="1519850486">
          <w:marLeft w:val="360"/>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80609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4982655">
      <w:bodyDiv w:val="1"/>
      <w:marLeft w:val="0"/>
      <w:marRight w:val="0"/>
      <w:marTop w:val="0"/>
      <w:marBottom w:val="0"/>
      <w:divBdr>
        <w:top w:val="none" w:sz="0" w:space="0" w:color="auto"/>
        <w:left w:val="none" w:sz="0" w:space="0" w:color="auto"/>
        <w:bottom w:val="none" w:sz="0" w:space="0" w:color="auto"/>
        <w:right w:val="none" w:sz="0" w:space="0" w:color="auto"/>
      </w:divBdr>
    </w:div>
    <w:div w:id="1481770197">
      <w:bodyDiv w:val="1"/>
      <w:marLeft w:val="0"/>
      <w:marRight w:val="0"/>
      <w:marTop w:val="0"/>
      <w:marBottom w:val="0"/>
      <w:divBdr>
        <w:top w:val="none" w:sz="0" w:space="0" w:color="auto"/>
        <w:left w:val="none" w:sz="0" w:space="0" w:color="auto"/>
        <w:bottom w:val="none" w:sz="0" w:space="0" w:color="auto"/>
        <w:right w:val="none" w:sz="0" w:space="0" w:color="auto"/>
      </w:divBdr>
      <w:divsChild>
        <w:div w:id="4092105">
          <w:marLeft w:val="547"/>
          <w:marRight w:val="0"/>
          <w:marTop w:val="96"/>
          <w:marBottom w:val="0"/>
          <w:divBdr>
            <w:top w:val="none" w:sz="0" w:space="0" w:color="auto"/>
            <w:left w:val="none" w:sz="0" w:space="0" w:color="auto"/>
            <w:bottom w:val="none" w:sz="0" w:space="0" w:color="auto"/>
            <w:right w:val="none" w:sz="0" w:space="0" w:color="auto"/>
          </w:divBdr>
        </w:div>
        <w:div w:id="100800703">
          <w:marLeft w:val="1166"/>
          <w:marRight w:val="0"/>
          <w:marTop w:val="86"/>
          <w:marBottom w:val="0"/>
          <w:divBdr>
            <w:top w:val="none" w:sz="0" w:space="0" w:color="auto"/>
            <w:left w:val="none" w:sz="0" w:space="0" w:color="auto"/>
            <w:bottom w:val="none" w:sz="0" w:space="0" w:color="auto"/>
            <w:right w:val="none" w:sz="0" w:space="0" w:color="auto"/>
          </w:divBdr>
        </w:div>
        <w:div w:id="108086193">
          <w:marLeft w:val="1800"/>
          <w:marRight w:val="0"/>
          <w:marTop w:val="77"/>
          <w:marBottom w:val="0"/>
          <w:divBdr>
            <w:top w:val="none" w:sz="0" w:space="0" w:color="auto"/>
            <w:left w:val="none" w:sz="0" w:space="0" w:color="auto"/>
            <w:bottom w:val="none" w:sz="0" w:space="0" w:color="auto"/>
            <w:right w:val="none" w:sz="0" w:space="0" w:color="auto"/>
          </w:divBdr>
        </w:div>
        <w:div w:id="338384799">
          <w:marLeft w:val="1800"/>
          <w:marRight w:val="0"/>
          <w:marTop w:val="77"/>
          <w:marBottom w:val="0"/>
          <w:divBdr>
            <w:top w:val="none" w:sz="0" w:space="0" w:color="auto"/>
            <w:left w:val="none" w:sz="0" w:space="0" w:color="auto"/>
            <w:bottom w:val="none" w:sz="0" w:space="0" w:color="auto"/>
            <w:right w:val="none" w:sz="0" w:space="0" w:color="auto"/>
          </w:divBdr>
        </w:div>
        <w:div w:id="392630069">
          <w:marLeft w:val="1800"/>
          <w:marRight w:val="0"/>
          <w:marTop w:val="77"/>
          <w:marBottom w:val="0"/>
          <w:divBdr>
            <w:top w:val="none" w:sz="0" w:space="0" w:color="auto"/>
            <w:left w:val="none" w:sz="0" w:space="0" w:color="auto"/>
            <w:bottom w:val="none" w:sz="0" w:space="0" w:color="auto"/>
            <w:right w:val="none" w:sz="0" w:space="0" w:color="auto"/>
          </w:divBdr>
        </w:div>
        <w:div w:id="537354135">
          <w:marLeft w:val="1166"/>
          <w:marRight w:val="0"/>
          <w:marTop w:val="86"/>
          <w:marBottom w:val="0"/>
          <w:divBdr>
            <w:top w:val="none" w:sz="0" w:space="0" w:color="auto"/>
            <w:left w:val="none" w:sz="0" w:space="0" w:color="auto"/>
            <w:bottom w:val="none" w:sz="0" w:space="0" w:color="auto"/>
            <w:right w:val="none" w:sz="0" w:space="0" w:color="auto"/>
          </w:divBdr>
        </w:div>
        <w:div w:id="732123380">
          <w:marLeft w:val="547"/>
          <w:marRight w:val="0"/>
          <w:marTop w:val="96"/>
          <w:marBottom w:val="0"/>
          <w:divBdr>
            <w:top w:val="none" w:sz="0" w:space="0" w:color="auto"/>
            <w:left w:val="none" w:sz="0" w:space="0" w:color="auto"/>
            <w:bottom w:val="none" w:sz="0" w:space="0" w:color="auto"/>
            <w:right w:val="none" w:sz="0" w:space="0" w:color="auto"/>
          </w:divBdr>
        </w:div>
        <w:div w:id="798108504">
          <w:marLeft w:val="1800"/>
          <w:marRight w:val="0"/>
          <w:marTop w:val="77"/>
          <w:marBottom w:val="0"/>
          <w:divBdr>
            <w:top w:val="none" w:sz="0" w:space="0" w:color="auto"/>
            <w:left w:val="none" w:sz="0" w:space="0" w:color="auto"/>
            <w:bottom w:val="none" w:sz="0" w:space="0" w:color="auto"/>
            <w:right w:val="none" w:sz="0" w:space="0" w:color="auto"/>
          </w:divBdr>
        </w:div>
        <w:div w:id="892543384">
          <w:marLeft w:val="1166"/>
          <w:marRight w:val="0"/>
          <w:marTop w:val="86"/>
          <w:marBottom w:val="0"/>
          <w:divBdr>
            <w:top w:val="none" w:sz="0" w:space="0" w:color="auto"/>
            <w:left w:val="none" w:sz="0" w:space="0" w:color="auto"/>
            <w:bottom w:val="none" w:sz="0" w:space="0" w:color="auto"/>
            <w:right w:val="none" w:sz="0" w:space="0" w:color="auto"/>
          </w:divBdr>
        </w:div>
        <w:div w:id="1299068355">
          <w:marLeft w:val="1800"/>
          <w:marRight w:val="0"/>
          <w:marTop w:val="77"/>
          <w:marBottom w:val="0"/>
          <w:divBdr>
            <w:top w:val="none" w:sz="0" w:space="0" w:color="auto"/>
            <w:left w:val="none" w:sz="0" w:space="0" w:color="auto"/>
            <w:bottom w:val="none" w:sz="0" w:space="0" w:color="auto"/>
            <w:right w:val="none" w:sz="0" w:space="0" w:color="auto"/>
          </w:divBdr>
        </w:div>
        <w:div w:id="1443765315">
          <w:marLeft w:val="1800"/>
          <w:marRight w:val="0"/>
          <w:marTop w:val="77"/>
          <w:marBottom w:val="0"/>
          <w:divBdr>
            <w:top w:val="none" w:sz="0" w:space="0" w:color="auto"/>
            <w:left w:val="none" w:sz="0" w:space="0" w:color="auto"/>
            <w:bottom w:val="none" w:sz="0" w:space="0" w:color="auto"/>
            <w:right w:val="none" w:sz="0" w:space="0" w:color="auto"/>
          </w:divBdr>
        </w:div>
        <w:div w:id="1595549351">
          <w:marLeft w:val="1166"/>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187643">
      <w:bodyDiv w:val="1"/>
      <w:marLeft w:val="0"/>
      <w:marRight w:val="0"/>
      <w:marTop w:val="0"/>
      <w:marBottom w:val="0"/>
      <w:divBdr>
        <w:top w:val="none" w:sz="0" w:space="0" w:color="auto"/>
        <w:left w:val="none" w:sz="0" w:space="0" w:color="auto"/>
        <w:bottom w:val="none" w:sz="0" w:space="0" w:color="auto"/>
        <w:right w:val="none" w:sz="0" w:space="0" w:color="auto"/>
      </w:divBdr>
      <w:divsChild>
        <w:div w:id="1178421321">
          <w:marLeft w:val="360"/>
          <w:marRight w:val="0"/>
          <w:marTop w:val="0"/>
          <w:marBottom w:val="120"/>
          <w:divBdr>
            <w:top w:val="none" w:sz="0" w:space="0" w:color="auto"/>
            <w:left w:val="none" w:sz="0" w:space="0" w:color="auto"/>
            <w:bottom w:val="none" w:sz="0" w:space="0" w:color="auto"/>
            <w:right w:val="none" w:sz="0" w:space="0" w:color="auto"/>
          </w:divBdr>
        </w:div>
        <w:div w:id="1662083007">
          <w:marLeft w:val="360"/>
          <w:marRight w:val="0"/>
          <w:marTop w:val="0"/>
          <w:marBottom w:val="120"/>
          <w:divBdr>
            <w:top w:val="none" w:sz="0" w:space="0" w:color="auto"/>
            <w:left w:val="none" w:sz="0" w:space="0" w:color="auto"/>
            <w:bottom w:val="none" w:sz="0" w:space="0" w:color="auto"/>
            <w:right w:val="none" w:sz="0" w:space="0" w:color="auto"/>
          </w:divBdr>
        </w:div>
        <w:div w:id="1771732454">
          <w:marLeft w:val="907"/>
          <w:marRight w:val="0"/>
          <w:marTop w:val="0"/>
          <w:marBottom w:val="120"/>
          <w:divBdr>
            <w:top w:val="none" w:sz="0" w:space="0" w:color="auto"/>
            <w:left w:val="none" w:sz="0" w:space="0" w:color="auto"/>
            <w:bottom w:val="none" w:sz="0" w:space="0" w:color="auto"/>
            <w:right w:val="none" w:sz="0" w:space="0" w:color="auto"/>
          </w:divBdr>
        </w:div>
        <w:div w:id="2085487658">
          <w:marLeft w:val="360"/>
          <w:marRight w:val="0"/>
          <w:marTop w:val="0"/>
          <w:marBottom w:val="120"/>
          <w:divBdr>
            <w:top w:val="none" w:sz="0" w:space="0" w:color="auto"/>
            <w:left w:val="none" w:sz="0" w:space="0" w:color="auto"/>
            <w:bottom w:val="none" w:sz="0" w:space="0" w:color="auto"/>
            <w:right w:val="none" w:sz="0" w:space="0" w:color="auto"/>
          </w:divBdr>
        </w:div>
      </w:divsChild>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0289820">
      <w:bodyDiv w:val="1"/>
      <w:marLeft w:val="0"/>
      <w:marRight w:val="0"/>
      <w:marTop w:val="0"/>
      <w:marBottom w:val="0"/>
      <w:divBdr>
        <w:top w:val="none" w:sz="0" w:space="0" w:color="auto"/>
        <w:left w:val="none" w:sz="0" w:space="0" w:color="auto"/>
        <w:bottom w:val="none" w:sz="0" w:space="0" w:color="auto"/>
        <w:right w:val="none" w:sz="0" w:space="0" w:color="auto"/>
      </w:divBdr>
      <w:divsChild>
        <w:div w:id="156965151">
          <w:marLeft w:val="1166"/>
          <w:marRight w:val="0"/>
          <w:marTop w:val="86"/>
          <w:marBottom w:val="0"/>
          <w:divBdr>
            <w:top w:val="none" w:sz="0" w:space="0" w:color="auto"/>
            <w:left w:val="none" w:sz="0" w:space="0" w:color="auto"/>
            <w:bottom w:val="none" w:sz="0" w:space="0" w:color="auto"/>
            <w:right w:val="none" w:sz="0" w:space="0" w:color="auto"/>
          </w:divBdr>
        </w:div>
        <w:div w:id="264844925">
          <w:marLeft w:val="547"/>
          <w:marRight w:val="0"/>
          <w:marTop w:val="96"/>
          <w:marBottom w:val="0"/>
          <w:divBdr>
            <w:top w:val="none" w:sz="0" w:space="0" w:color="auto"/>
            <w:left w:val="none" w:sz="0" w:space="0" w:color="auto"/>
            <w:bottom w:val="none" w:sz="0" w:space="0" w:color="auto"/>
            <w:right w:val="none" w:sz="0" w:space="0" w:color="auto"/>
          </w:divBdr>
        </w:div>
        <w:div w:id="288633023">
          <w:marLeft w:val="1800"/>
          <w:marRight w:val="0"/>
          <w:marTop w:val="77"/>
          <w:marBottom w:val="0"/>
          <w:divBdr>
            <w:top w:val="none" w:sz="0" w:space="0" w:color="auto"/>
            <w:left w:val="none" w:sz="0" w:space="0" w:color="auto"/>
            <w:bottom w:val="none" w:sz="0" w:space="0" w:color="auto"/>
            <w:right w:val="none" w:sz="0" w:space="0" w:color="auto"/>
          </w:divBdr>
        </w:div>
        <w:div w:id="581112575">
          <w:marLeft w:val="1166"/>
          <w:marRight w:val="0"/>
          <w:marTop w:val="86"/>
          <w:marBottom w:val="0"/>
          <w:divBdr>
            <w:top w:val="none" w:sz="0" w:space="0" w:color="auto"/>
            <w:left w:val="none" w:sz="0" w:space="0" w:color="auto"/>
            <w:bottom w:val="none" w:sz="0" w:space="0" w:color="auto"/>
            <w:right w:val="none" w:sz="0" w:space="0" w:color="auto"/>
          </w:divBdr>
        </w:div>
        <w:div w:id="891842674">
          <w:marLeft w:val="1166"/>
          <w:marRight w:val="0"/>
          <w:marTop w:val="86"/>
          <w:marBottom w:val="0"/>
          <w:divBdr>
            <w:top w:val="none" w:sz="0" w:space="0" w:color="auto"/>
            <w:left w:val="none" w:sz="0" w:space="0" w:color="auto"/>
            <w:bottom w:val="none" w:sz="0" w:space="0" w:color="auto"/>
            <w:right w:val="none" w:sz="0" w:space="0" w:color="auto"/>
          </w:divBdr>
        </w:div>
        <w:div w:id="901057780">
          <w:marLeft w:val="1166"/>
          <w:marRight w:val="0"/>
          <w:marTop w:val="86"/>
          <w:marBottom w:val="0"/>
          <w:divBdr>
            <w:top w:val="none" w:sz="0" w:space="0" w:color="auto"/>
            <w:left w:val="none" w:sz="0" w:space="0" w:color="auto"/>
            <w:bottom w:val="none" w:sz="0" w:space="0" w:color="auto"/>
            <w:right w:val="none" w:sz="0" w:space="0" w:color="auto"/>
          </w:divBdr>
        </w:div>
        <w:div w:id="1166362412">
          <w:marLeft w:val="547"/>
          <w:marRight w:val="0"/>
          <w:marTop w:val="96"/>
          <w:marBottom w:val="0"/>
          <w:divBdr>
            <w:top w:val="none" w:sz="0" w:space="0" w:color="auto"/>
            <w:left w:val="none" w:sz="0" w:space="0" w:color="auto"/>
            <w:bottom w:val="none" w:sz="0" w:space="0" w:color="auto"/>
            <w:right w:val="none" w:sz="0" w:space="0" w:color="auto"/>
          </w:divBdr>
        </w:div>
        <w:div w:id="1628268931">
          <w:marLeft w:val="547"/>
          <w:marRight w:val="0"/>
          <w:marTop w:val="96"/>
          <w:marBottom w:val="0"/>
          <w:divBdr>
            <w:top w:val="none" w:sz="0" w:space="0" w:color="auto"/>
            <w:left w:val="none" w:sz="0" w:space="0" w:color="auto"/>
            <w:bottom w:val="none" w:sz="0" w:space="0" w:color="auto"/>
            <w:right w:val="none" w:sz="0" w:space="0" w:color="auto"/>
          </w:divBdr>
        </w:div>
        <w:div w:id="1700275779">
          <w:marLeft w:val="1166"/>
          <w:marRight w:val="0"/>
          <w:marTop w:val="86"/>
          <w:marBottom w:val="0"/>
          <w:divBdr>
            <w:top w:val="none" w:sz="0" w:space="0" w:color="auto"/>
            <w:left w:val="none" w:sz="0" w:space="0" w:color="auto"/>
            <w:bottom w:val="none" w:sz="0" w:space="0" w:color="auto"/>
            <w:right w:val="none" w:sz="0" w:space="0" w:color="auto"/>
          </w:divBdr>
        </w:div>
        <w:div w:id="1739552668">
          <w:marLeft w:val="1800"/>
          <w:marRight w:val="0"/>
          <w:marTop w:val="77"/>
          <w:marBottom w:val="0"/>
          <w:divBdr>
            <w:top w:val="none" w:sz="0" w:space="0" w:color="auto"/>
            <w:left w:val="none" w:sz="0" w:space="0" w:color="auto"/>
            <w:bottom w:val="none" w:sz="0" w:space="0" w:color="auto"/>
            <w:right w:val="none" w:sz="0" w:space="0" w:color="auto"/>
          </w:divBdr>
        </w:div>
        <w:div w:id="1874612001">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893700">
      <w:bodyDiv w:val="1"/>
      <w:marLeft w:val="0"/>
      <w:marRight w:val="0"/>
      <w:marTop w:val="0"/>
      <w:marBottom w:val="0"/>
      <w:divBdr>
        <w:top w:val="none" w:sz="0" w:space="0" w:color="auto"/>
        <w:left w:val="none" w:sz="0" w:space="0" w:color="auto"/>
        <w:bottom w:val="none" w:sz="0" w:space="0" w:color="auto"/>
        <w:right w:val="none" w:sz="0" w:space="0" w:color="auto"/>
      </w:divBdr>
      <w:divsChild>
        <w:div w:id="786970864">
          <w:marLeft w:val="1800"/>
          <w:marRight w:val="0"/>
          <w:marTop w:val="67"/>
          <w:marBottom w:val="0"/>
          <w:divBdr>
            <w:top w:val="none" w:sz="0" w:space="0" w:color="auto"/>
            <w:left w:val="none" w:sz="0" w:space="0" w:color="auto"/>
            <w:bottom w:val="none" w:sz="0" w:space="0" w:color="auto"/>
            <w:right w:val="none" w:sz="0" w:space="0" w:color="auto"/>
          </w:divBdr>
        </w:div>
        <w:div w:id="1105613648">
          <w:marLeft w:val="1166"/>
          <w:marRight w:val="0"/>
          <w:marTop w:val="77"/>
          <w:marBottom w:val="0"/>
          <w:divBdr>
            <w:top w:val="none" w:sz="0" w:space="0" w:color="auto"/>
            <w:left w:val="none" w:sz="0" w:space="0" w:color="auto"/>
            <w:bottom w:val="none" w:sz="0" w:space="0" w:color="auto"/>
            <w:right w:val="none" w:sz="0" w:space="0" w:color="auto"/>
          </w:divBdr>
        </w:div>
        <w:div w:id="1241401505">
          <w:marLeft w:val="547"/>
          <w:marRight w:val="0"/>
          <w:marTop w:val="96"/>
          <w:marBottom w:val="0"/>
          <w:divBdr>
            <w:top w:val="none" w:sz="0" w:space="0" w:color="auto"/>
            <w:left w:val="none" w:sz="0" w:space="0" w:color="auto"/>
            <w:bottom w:val="none" w:sz="0" w:space="0" w:color="auto"/>
            <w:right w:val="none" w:sz="0" w:space="0" w:color="auto"/>
          </w:divBdr>
        </w:div>
        <w:div w:id="1279988717">
          <w:marLeft w:val="1800"/>
          <w:marRight w:val="0"/>
          <w:marTop w:val="67"/>
          <w:marBottom w:val="0"/>
          <w:divBdr>
            <w:top w:val="none" w:sz="0" w:space="0" w:color="auto"/>
            <w:left w:val="none" w:sz="0" w:space="0" w:color="auto"/>
            <w:bottom w:val="none" w:sz="0" w:space="0" w:color="auto"/>
            <w:right w:val="none" w:sz="0" w:space="0" w:color="auto"/>
          </w:divBdr>
        </w:div>
        <w:div w:id="1320189716">
          <w:marLeft w:val="547"/>
          <w:marRight w:val="0"/>
          <w:marTop w:val="96"/>
          <w:marBottom w:val="0"/>
          <w:divBdr>
            <w:top w:val="none" w:sz="0" w:space="0" w:color="auto"/>
            <w:left w:val="none" w:sz="0" w:space="0" w:color="auto"/>
            <w:bottom w:val="none" w:sz="0" w:space="0" w:color="auto"/>
            <w:right w:val="none" w:sz="0" w:space="0" w:color="auto"/>
          </w:divBdr>
        </w:div>
        <w:div w:id="1346907851">
          <w:marLeft w:val="1800"/>
          <w:marRight w:val="0"/>
          <w:marTop w:val="67"/>
          <w:marBottom w:val="0"/>
          <w:divBdr>
            <w:top w:val="none" w:sz="0" w:space="0" w:color="auto"/>
            <w:left w:val="none" w:sz="0" w:space="0" w:color="auto"/>
            <w:bottom w:val="none" w:sz="0" w:space="0" w:color="auto"/>
            <w:right w:val="none" w:sz="0" w:space="0" w:color="auto"/>
          </w:divBdr>
        </w:div>
        <w:div w:id="1347250268">
          <w:marLeft w:val="1800"/>
          <w:marRight w:val="0"/>
          <w:marTop w:val="67"/>
          <w:marBottom w:val="0"/>
          <w:divBdr>
            <w:top w:val="none" w:sz="0" w:space="0" w:color="auto"/>
            <w:left w:val="none" w:sz="0" w:space="0" w:color="auto"/>
            <w:bottom w:val="none" w:sz="0" w:space="0" w:color="auto"/>
            <w:right w:val="none" w:sz="0" w:space="0" w:color="auto"/>
          </w:divBdr>
        </w:div>
        <w:div w:id="1394965663">
          <w:marLeft w:val="1800"/>
          <w:marRight w:val="0"/>
          <w:marTop w:val="67"/>
          <w:marBottom w:val="0"/>
          <w:divBdr>
            <w:top w:val="none" w:sz="0" w:space="0" w:color="auto"/>
            <w:left w:val="none" w:sz="0" w:space="0" w:color="auto"/>
            <w:bottom w:val="none" w:sz="0" w:space="0" w:color="auto"/>
            <w:right w:val="none" w:sz="0" w:space="0" w:color="auto"/>
          </w:divBdr>
        </w:div>
        <w:div w:id="1468359288">
          <w:marLeft w:val="1800"/>
          <w:marRight w:val="0"/>
          <w:marTop w:val="67"/>
          <w:marBottom w:val="0"/>
          <w:divBdr>
            <w:top w:val="none" w:sz="0" w:space="0" w:color="auto"/>
            <w:left w:val="none" w:sz="0" w:space="0" w:color="auto"/>
            <w:bottom w:val="none" w:sz="0" w:space="0" w:color="auto"/>
            <w:right w:val="none" w:sz="0" w:space="0" w:color="auto"/>
          </w:divBdr>
        </w:div>
        <w:div w:id="1510757478">
          <w:marLeft w:val="547"/>
          <w:marRight w:val="0"/>
          <w:marTop w:val="96"/>
          <w:marBottom w:val="0"/>
          <w:divBdr>
            <w:top w:val="none" w:sz="0" w:space="0" w:color="auto"/>
            <w:left w:val="none" w:sz="0" w:space="0" w:color="auto"/>
            <w:bottom w:val="none" w:sz="0" w:space="0" w:color="auto"/>
            <w:right w:val="none" w:sz="0" w:space="0" w:color="auto"/>
          </w:divBdr>
        </w:div>
        <w:div w:id="1888175760">
          <w:marLeft w:val="1166"/>
          <w:marRight w:val="0"/>
          <w:marTop w:val="77"/>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2877517">
      <w:bodyDiv w:val="1"/>
      <w:marLeft w:val="0"/>
      <w:marRight w:val="0"/>
      <w:marTop w:val="0"/>
      <w:marBottom w:val="0"/>
      <w:divBdr>
        <w:top w:val="none" w:sz="0" w:space="0" w:color="auto"/>
        <w:left w:val="none" w:sz="0" w:space="0" w:color="auto"/>
        <w:bottom w:val="none" w:sz="0" w:space="0" w:color="auto"/>
        <w:right w:val="none" w:sz="0" w:space="0" w:color="auto"/>
      </w:divBdr>
    </w:div>
    <w:div w:id="1715036457">
      <w:bodyDiv w:val="1"/>
      <w:marLeft w:val="0"/>
      <w:marRight w:val="0"/>
      <w:marTop w:val="0"/>
      <w:marBottom w:val="0"/>
      <w:divBdr>
        <w:top w:val="none" w:sz="0" w:space="0" w:color="auto"/>
        <w:left w:val="none" w:sz="0" w:space="0" w:color="auto"/>
        <w:bottom w:val="none" w:sz="0" w:space="0" w:color="auto"/>
        <w:right w:val="none" w:sz="0" w:space="0" w:color="auto"/>
      </w:divBdr>
    </w:div>
    <w:div w:id="1715696324">
      <w:bodyDiv w:val="1"/>
      <w:marLeft w:val="0"/>
      <w:marRight w:val="0"/>
      <w:marTop w:val="0"/>
      <w:marBottom w:val="0"/>
      <w:divBdr>
        <w:top w:val="none" w:sz="0" w:space="0" w:color="auto"/>
        <w:left w:val="none" w:sz="0" w:space="0" w:color="auto"/>
        <w:bottom w:val="none" w:sz="0" w:space="0" w:color="auto"/>
        <w:right w:val="none" w:sz="0" w:space="0" w:color="auto"/>
      </w:divBdr>
      <w:divsChild>
        <w:div w:id="134029364">
          <w:marLeft w:val="1166"/>
          <w:marRight w:val="0"/>
          <w:marTop w:val="67"/>
          <w:marBottom w:val="0"/>
          <w:divBdr>
            <w:top w:val="none" w:sz="0" w:space="0" w:color="auto"/>
            <w:left w:val="none" w:sz="0" w:space="0" w:color="auto"/>
            <w:bottom w:val="none" w:sz="0" w:space="0" w:color="auto"/>
            <w:right w:val="none" w:sz="0" w:space="0" w:color="auto"/>
          </w:divBdr>
        </w:div>
        <w:div w:id="147406402">
          <w:marLeft w:val="1800"/>
          <w:marRight w:val="0"/>
          <w:marTop w:val="67"/>
          <w:marBottom w:val="0"/>
          <w:divBdr>
            <w:top w:val="none" w:sz="0" w:space="0" w:color="auto"/>
            <w:left w:val="none" w:sz="0" w:space="0" w:color="auto"/>
            <w:bottom w:val="none" w:sz="0" w:space="0" w:color="auto"/>
            <w:right w:val="none" w:sz="0" w:space="0" w:color="auto"/>
          </w:divBdr>
        </w:div>
        <w:div w:id="152381526">
          <w:marLeft w:val="1800"/>
          <w:marRight w:val="0"/>
          <w:marTop w:val="67"/>
          <w:marBottom w:val="0"/>
          <w:divBdr>
            <w:top w:val="none" w:sz="0" w:space="0" w:color="auto"/>
            <w:left w:val="none" w:sz="0" w:space="0" w:color="auto"/>
            <w:bottom w:val="none" w:sz="0" w:space="0" w:color="auto"/>
            <w:right w:val="none" w:sz="0" w:space="0" w:color="auto"/>
          </w:divBdr>
        </w:div>
        <w:div w:id="385761231">
          <w:marLeft w:val="1800"/>
          <w:marRight w:val="0"/>
          <w:marTop w:val="67"/>
          <w:marBottom w:val="0"/>
          <w:divBdr>
            <w:top w:val="none" w:sz="0" w:space="0" w:color="auto"/>
            <w:left w:val="none" w:sz="0" w:space="0" w:color="auto"/>
            <w:bottom w:val="none" w:sz="0" w:space="0" w:color="auto"/>
            <w:right w:val="none" w:sz="0" w:space="0" w:color="auto"/>
          </w:divBdr>
        </w:div>
        <w:div w:id="603415395">
          <w:marLeft w:val="1800"/>
          <w:marRight w:val="0"/>
          <w:marTop w:val="67"/>
          <w:marBottom w:val="0"/>
          <w:divBdr>
            <w:top w:val="none" w:sz="0" w:space="0" w:color="auto"/>
            <w:left w:val="none" w:sz="0" w:space="0" w:color="auto"/>
            <w:bottom w:val="none" w:sz="0" w:space="0" w:color="auto"/>
            <w:right w:val="none" w:sz="0" w:space="0" w:color="auto"/>
          </w:divBdr>
        </w:div>
        <w:div w:id="612173173">
          <w:marLeft w:val="547"/>
          <w:marRight w:val="0"/>
          <w:marTop w:val="86"/>
          <w:marBottom w:val="0"/>
          <w:divBdr>
            <w:top w:val="none" w:sz="0" w:space="0" w:color="auto"/>
            <w:left w:val="none" w:sz="0" w:space="0" w:color="auto"/>
            <w:bottom w:val="none" w:sz="0" w:space="0" w:color="auto"/>
            <w:right w:val="none" w:sz="0" w:space="0" w:color="auto"/>
          </w:divBdr>
        </w:div>
        <w:div w:id="716660464">
          <w:marLeft w:val="1166"/>
          <w:marRight w:val="0"/>
          <w:marTop w:val="67"/>
          <w:marBottom w:val="0"/>
          <w:divBdr>
            <w:top w:val="none" w:sz="0" w:space="0" w:color="auto"/>
            <w:left w:val="none" w:sz="0" w:space="0" w:color="auto"/>
            <w:bottom w:val="none" w:sz="0" w:space="0" w:color="auto"/>
            <w:right w:val="none" w:sz="0" w:space="0" w:color="auto"/>
          </w:divBdr>
        </w:div>
        <w:div w:id="761605825">
          <w:marLeft w:val="2520"/>
          <w:marRight w:val="0"/>
          <w:marTop w:val="58"/>
          <w:marBottom w:val="0"/>
          <w:divBdr>
            <w:top w:val="none" w:sz="0" w:space="0" w:color="auto"/>
            <w:left w:val="none" w:sz="0" w:space="0" w:color="auto"/>
            <w:bottom w:val="none" w:sz="0" w:space="0" w:color="auto"/>
            <w:right w:val="none" w:sz="0" w:space="0" w:color="auto"/>
          </w:divBdr>
        </w:div>
        <w:div w:id="763769466">
          <w:marLeft w:val="2520"/>
          <w:marRight w:val="0"/>
          <w:marTop w:val="58"/>
          <w:marBottom w:val="0"/>
          <w:divBdr>
            <w:top w:val="none" w:sz="0" w:space="0" w:color="auto"/>
            <w:left w:val="none" w:sz="0" w:space="0" w:color="auto"/>
            <w:bottom w:val="none" w:sz="0" w:space="0" w:color="auto"/>
            <w:right w:val="none" w:sz="0" w:space="0" w:color="auto"/>
          </w:divBdr>
        </w:div>
        <w:div w:id="939339520">
          <w:marLeft w:val="1166"/>
          <w:marRight w:val="0"/>
          <w:marTop w:val="67"/>
          <w:marBottom w:val="0"/>
          <w:divBdr>
            <w:top w:val="none" w:sz="0" w:space="0" w:color="auto"/>
            <w:left w:val="none" w:sz="0" w:space="0" w:color="auto"/>
            <w:bottom w:val="none" w:sz="0" w:space="0" w:color="auto"/>
            <w:right w:val="none" w:sz="0" w:space="0" w:color="auto"/>
          </w:divBdr>
        </w:div>
        <w:div w:id="1291207967">
          <w:marLeft w:val="1166"/>
          <w:marRight w:val="0"/>
          <w:marTop w:val="67"/>
          <w:marBottom w:val="0"/>
          <w:divBdr>
            <w:top w:val="none" w:sz="0" w:space="0" w:color="auto"/>
            <w:left w:val="none" w:sz="0" w:space="0" w:color="auto"/>
            <w:bottom w:val="none" w:sz="0" w:space="0" w:color="auto"/>
            <w:right w:val="none" w:sz="0" w:space="0" w:color="auto"/>
          </w:divBdr>
        </w:div>
        <w:div w:id="1368489921">
          <w:marLeft w:val="2520"/>
          <w:marRight w:val="0"/>
          <w:marTop w:val="58"/>
          <w:marBottom w:val="0"/>
          <w:divBdr>
            <w:top w:val="none" w:sz="0" w:space="0" w:color="auto"/>
            <w:left w:val="none" w:sz="0" w:space="0" w:color="auto"/>
            <w:bottom w:val="none" w:sz="0" w:space="0" w:color="auto"/>
            <w:right w:val="none" w:sz="0" w:space="0" w:color="auto"/>
          </w:divBdr>
        </w:div>
        <w:div w:id="1513958271">
          <w:marLeft w:val="1800"/>
          <w:marRight w:val="0"/>
          <w:marTop w:val="67"/>
          <w:marBottom w:val="0"/>
          <w:divBdr>
            <w:top w:val="none" w:sz="0" w:space="0" w:color="auto"/>
            <w:left w:val="none" w:sz="0" w:space="0" w:color="auto"/>
            <w:bottom w:val="none" w:sz="0" w:space="0" w:color="auto"/>
            <w:right w:val="none" w:sz="0" w:space="0" w:color="auto"/>
          </w:divBdr>
        </w:div>
        <w:div w:id="1819105589">
          <w:marLeft w:val="547"/>
          <w:marRight w:val="0"/>
          <w:marTop w:val="86"/>
          <w:marBottom w:val="0"/>
          <w:divBdr>
            <w:top w:val="none" w:sz="0" w:space="0" w:color="auto"/>
            <w:left w:val="none" w:sz="0" w:space="0" w:color="auto"/>
            <w:bottom w:val="none" w:sz="0" w:space="0" w:color="auto"/>
            <w:right w:val="none" w:sz="0" w:space="0" w:color="auto"/>
          </w:divBdr>
        </w:div>
        <w:div w:id="1963263840">
          <w:marLeft w:val="547"/>
          <w:marRight w:val="0"/>
          <w:marTop w:val="86"/>
          <w:marBottom w:val="0"/>
          <w:divBdr>
            <w:top w:val="none" w:sz="0" w:space="0" w:color="auto"/>
            <w:left w:val="none" w:sz="0" w:space="0" w:color="auto"/>
            <w:bottom w:val="none" w:sz="0" w:space="0" w:color="auto"/>
            <w:right w:val="none" w:sz="0" w:space="0" w:color="auto"/>
          </w:divBdr>
        </w:div>
        <w:div w:id="1993607109">
          <w:marLeft w:val="1800"/>
          <w:marRight w:val="0"/>
          <w:marTop w:val="67"/>
          <w:marBottom w:val="0"/>
          <w:divBdr>
            <w:top w:val="none" w:sz="0" w:space="0" w:color="auto"/>
            <w:left w:val="none" w:sz="0" w:space="0" w:color="auto"/>
            <w:bottom w:val="none" w:sz="0" w:space="0" w:color="auto"/>
            <w:right w:val="none" w:sz="0" w:space="0" w:color="auto"/>
          </w:divBdr>
        </w:div>
        <w:div w:id="2105303216">
          <w:marLeft w:val="1800"/>
          <w:marRight w:val="0"/>
          <w:marTop w:val="67"/>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8943642">
      <w:bodyDiv w:val="1"/>
      <w:marLeft w:val="0"/>
      <w:marRight w:val="0"/>
      <w:marTop w:val="0"/>
      <w:marBottom w:val="0"/>
      <w:divBdr>
        <w:top w:val="none" w:sz="0" w:space="0" w:color="auto"/>
        <w:left w:val="none" w:sz="0" w:space="0" w:color="auto"/>
        <w:bottom w:val="none" w:sz="0" w:space="0" w:color="auto"/>
        <w:right w:val="none" w:sz="0" w:space="0" w:color="auto"/>
      </w:divBdr>
      <w:divsChild>
        <w:div w:id="147553459">
          <w:marLeft w:val="547"/>
          <w:marRight w:val="0"/>
          <w:marTop w:val="96"/>
          <w:marBottom w:val="0"/>
          <w:divBdr>
            <w:top w:val="none" w:sz="0" w:space="0" w:color="auto"/>
            <w:left w:val="none" w:sz="0" w:space="0" w:color="auto"/>
            <w:bottom w:val="none" w:sz="0" w:space="0" w:color="auto"/>
            <w:right w:val="none" w:sz="0" w:space="0" w:color="auto"/>
          </w:divBdr>
        </w:div>
        <w:div w:id="156655084">
          <w:marLeft w:val="1800"/>
          <w:marRight w:val="0"/>
          <w:marTop w:val="77"/>
          <w:marBottom w:val="0"/>
          <w:divBdr>
            <w:top w:val="none" w:sz="0" w:space="0" w:color="auto"/>
            <w:left w:val="none" w:sz="0" w:space="0" w:color="auto"/>
            <w:bottom w:val="none" w:sz="0" w:space="0" w:color="auto"/>
            <w:right w:val="none" w:sz="0" w:space="0" w:color="auto"/>
          </w:divBdr>
        </w:div>
        <w:div w:id="515197471">
          <w:marLeft w:val="1800"/>
          <w:marRight w:val="0"/>
          <w:marTop w:val="77"/>
          <w:marBottom w:val="0"/>
          <w:divBdr>
            <w:top w:val="none" w:sz="0" w:space="0" w:color="auto"/>
            <w:left w:val="none" w:sz="0" w:space="0" w:color="auto"/>
            <w:bottom w:val="none" w:sz="0" w:space="0" w:color="auto"/>
            <w:right w:val="none" w:sz="0" w:space="0" w:color="auto"/>
          </w:divBdr>
        </w:div>
        <w:div w:id="885137992">
          <w:marLeft w:val="2520"/>
          <w:marRight w:val="0"/>
          <w:marTop w:val="67"/>
          <w:marBottom w:val="0"/>
          <w:divBdr>
            <w:top w:val="none" w:sz="0" w:space="0" w:color="auto"/>
            <w:left w:val="none" w:sz="0" w:space="0" w:color="auto"/>
            <w:bottom w:val="none" w:sz="0" w:space="0" w:color="auto"/>
            <w:right w:val="none" w:sz="0" w:space="0" w:color="auto"/>
          </w:divBdr>
        </w:div>
        <w:div w:id="1017585330">
          <w:marLeft w:val="1800"/>
          <w:marRight w:val="0"/>
          <w:marTop w:val="77"/>
          <w:marBottom w:val="0"/>
          <w:divBdr>
            <w:top w:val="none" w:sz="0" w:space="0" w:color="auto"/>
            <w:left w:val="none" w:sz="0" w:space="0" w:color="auto"/>
            <w:bottom w:val="none" w:sz="0" w:space="0" w:color="auto"/>
            <w:right w:val="none" w:sz="0" w:space="0" w:color="auto"/>
          </w:divBdr>
        </w:div>
        <w:div w:id="1095252233">
          <w:marLeft w:val="1800"/>
          <w:marRight w:val="0"/>
          <w:marTop w:val="77"/>
          <w:marBottom w:val="0"/>
          <w:divBdr>
            <w:top w:val="none" w:sz="0" w:space="0" w:color="auto"/>
            <w:left w:val="none" w:sz="0" w:space="0" w:color="auto"/>
            <w:bottom w:val="none" w:sz="0" w:space="0" w:color="auto"/>
            <w:right w:val="none" w:sz="0" w:space="0" w:color="auto"/>
          </w:divBdr>
        </w:div>
        <w:div w:id="1516190984">
          <w:marLeft w:val="2520"/>
          <w:marRight w:val="0"/>
          <w:marTop w:val="67"/>
          <w:marBottom w:val="0"/>
          <w:divBdr>
            <w:top w:val="none" w:sz="0" w:space="0" w:color="auto"/>
            <w:left w:val="none" w:sz="0" w:space="0" w:color="auto"/>
            <w:bottom w:val="none" w:sz="0" w:space="0" w:color="auto"/>
            <w:right w:val="none" w:sz="0" w:space="0" w:color="auto"/>
          </w:divBdr>
        </w:div>
        <w:div w:id="1628007521">
          <w:marLeft w:val="2520"/>
          <w:marRight w:val="0"/>
          <w:marTop w:val="67"/>
          <w:marBottom w:val="0"/>
          <w:divBdr>
            <w:top w:val="none" w:sz="0" w:space="0" w:color="auto"/>
            <w:left w:val="none" w:sz="0" w:space="0" w:color="auto"/>
            <w:bottom w:val="none" w:sz="0" w:space="0" w:color="auto"/>
            <w:right w:val="none" w:sz="0" w:space="0" w:color="auto"/>
          </w:divBdr>
        </w:div>
        <w:div w:id="1684550383">
          <w:marLeft w:val="1800"/>
          <w:marRight w:val="0"/>
          <w:marTop w:val="77"/>
          <w:marBottom w:val="0"/>
          <w:divBdr>
            <w:top w:val="none" w:sz="0" w:space="0" w:color="auto"/>
            <w:left w:val="none" w:sz="0" w:space="0" w:color="auto"/>
            <w:bottom w:val="none" w:sz="0" w:space="0" w:color="auto"/>
            <w:right w:val="none" w:sz="0" w:space="0" w:color="auto"/>
          </w:divBdr>
        </w:div>
        <w:div w:id="1701123196">
          <w:marLeft w:val="1800"/>
          <w:marRight w:val="0"/>
          <w:marTop w:val="77"/>
          <w:marBottom w:val="0"/>
          <w:divBdr>
            <w:top w:val="none" w:sz="0" w:space="0" w:color="auto"/>
            <w:left w:val="none" w:sz="0" w:space="0" w:color="auto"/>
            <w:bottom w:val="none" w:sz="0" w:space="0" w:color="auto"/>
            <w:right w:val="none" w:sz="0" w:space="0" w:color="auto"/>
          </w:divBdr>
        </w:div>
        <w:div w:id="1745104063">
          <w:marLeft w:val="1800"/>
          <w:marRight w:val="0"/>
          <w:marTop w:val="77"/>
          <w:marBottom w:val="0"/>
          <w:divBdr>
            <w:top w:val="none" w:sz="0" w:space="0" w:color="auto"/>
            <w:left w:val="none" w:sz="0" w:space="0" w:color="auto"/>
            <w:bottom w:val="none" w:sz="0" w:space="0" w:color="auto"/>
            <w:right w:val="none" w:sz="0" w:space="0" w:color="auto"/>
          </w:divBdr>
        </w:div>
        <w:div w:id="1759979989">
          <w:marLeft w:val="2520"/>
          <w:marRight w:val="0"/>
          <w:marTop w:val="67"/>
          <w:marBottom w:val="0"/>
          <w:divBdr>
            <w:top w:val="none" w:sz="0" w:space="0" w:color="auto"/>
            <w:left w:val="none" w:sz="0" w:space="0" w:color="auto"/>
            <w:bottom w:val="none" w:sz="0" w:space="0" w:color="auto"/>
            <w:right w:val="none" w:sz="0" w:space="0" w:color="auto"/>
          </w:divBdr>
        </w:div>
        <w:div w:id="1890802503">
          <w:marLeft w:val="1166"/>
          <w:marRight w:val="0"/>
          <w:marTop w:val="86"/>
          <w:marBottom w:val="0"/>
          <w:divBdr>
            <w:top w:val="none" w:sz="0" w:space="0" w:color="auto"/>
            <w:left w:val="none" w:sz="0" w:space="0" w:color="auto"/>
            <w:bottom w:val="none" w:sz="0" w:space="0" w:color="auto"/>
            <w:right w:val="none" w:sz="0" w:space="0" w:color="auto"/>
          </w:divBdr>
        </w:div>
        <w:div w:id="1909146144">
          <w:marLeft w:val="1166"/>
          <w:marRight w:val="0"/>
          <w:marTop w:val="86"/>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0032340">
      <w:bodyDiv w:val="1"/>
      <w:marLeft w:val="0"/>
      <w:marRight w:val="0"/>
      <w:marTop w:val="0"/>
      <w:marBottom w:val="0"/>
      <w:divBdr>
        <w:top w:val="none" w:sz="0" w:space="0" w:color="auto"/>
        <w:left w:val="none" w:sz="0" w:space="0" w:color="auto"/>
        <w:bottom w:val="none" w:sz="0" w:space="0" w:color="auto"/>
        <w:right w:val="none" w:sz="0" w:space="0" w:color="auto"/>
      </w:divBdr>
      <w:divsChild>
        <w:div w:id="273832177">
          <w:marLeft w:val="2520"/>
          <w:marRight w:val="0"/>
          <w:marTop w:val="58"/>
          <w:marBottom w:val="0"/>
          <w:divBdr>
            <w:top w:val="none" w:sz="0" w:space="0" w:color="auto"/>
            <w:left w:val="none" w:sz="0" w:space="0" w:color="auto"/>
            <w:bottom w:val="none" w:sz="0" w:space="0" w:color="auto"/>
            <w:right w:val="none" w:sz="0" w:space="0" w:color="auto"/>
          </w:divBdr>
        </w:div>
        <w:div w:id="300312586">
          <w:marLeft w:val="2520"/>
          <w:marRight w:val="0"/>
          <w:marTop w:val="58"/>
          <w:marBottom w:val="0"/>
          <w:divBdr>
            <w:top w:val="none" w:sz="0" w:space="0" w:color="auto"/>
            <w:left w:val="none" w:sz="0" w:space="0" w:color="auto"/>
            <w:bottom w:val="none" w:sz="0" w:space="0" w:color="auto"/>
            <w:right w:val="none" w:sz="0" w:space="0" w:color="auto"/>
          </w:divBdr>
        </w:div>
        <w:div w:id="311758889">
          <w:marLeft w:val="2520"/>
          <w:marRight w:val="0"/>
          <w:marTop w:val="58"/>
          <w:marBottom w:val="0"/>
          <w:divBdr>
            <w:top w:val="none" w:sz="0" w:space="0" w:color="auto"/>
            <w:left w:val="none" w:sz="0" w:space="0" w:color="auto"/>
            <w:bottom w:val="none" w:sz="0" w:space="0" w:color="auto"/>
            <w:right w:val="none" w:sz="0" w:space="0" w:color="auto"/>
          </w:divBdr>
        </w:div>
        <w:div w:id="400954922">
          <w:marLeft w:val="1800"/>
          <w:marRight w:val="0"/>
          <w:marTop w:val="67"/>
          <w:marBottom w:val="0"/>
          <w:divBdr>
            <w:top w:val="none" w:sz="0" w:space="0" w:color="auto"/>
            <w:left w:val="none" w:sz="0" w:space="0" w:color="auto"/>
            <w:bottom w:val="none" w:sz="0" w:space="0" w:color="auto"/>
            <w:right w:val="none" w:sz="0" w:space="0" w:color="auto"/>
          </w:divBdr>
        </w:div>
        <w:div w:id="405225279">
          <w:marLeft w:val="1800"/>
          <w:marRight w:val="0"/>
          <w:marTop w:val="67"/>
          <w:marBottom w:val="0"/>
          <w:divBdr>
            <w:top w:val="none" w:sz="0" w:space="0" w:color="auto"/>
            <w:left w:val="none" w:sz="0" w:space="0" w:color="auto"/>
            <w:bottom w:val="none" w:sz="0" w:space="0" w:color="auto"/>
            <w:right w:val="none" w:sz="0" w:space="0" w:color="auto"/>
          </w:divBdr>
        </w:div>
        <w:div w:id="413742070">
          <w:marLeft w:val="1800"/>
          <w:marRight w:val="0"/>
          <w:marTop w:val="67"/>
          <w:marBottom w:val="0"/>
          <w:divBdr>
            <w:top w:val="none" w:sz="0" w:space="0" w:color="auto"/>
            <w:left w:val="none" w:sz="0" w:space="0" w:color="auto"/>
            <w:bottom w:val="none" w:sz="0" w:space="0" w:color="auto"/>
            <w:right w:val="none" w:sz="0" w:space="0" w:color="auto"/>
          </w:divBdr>
        </w:div>
        <w:div w:id="623466450">
          <w:marLeft w:val="1800"/>
          <w:marRight w:val="0"/>
          <w:marTop w:val="67"/>
          <w:marBottom w:val="0"/>
          <w:divBdr>
            <w:top w:val="none" w:sz="0" w:space="0" w:color="auto"/>
            <w:left w:val="none" w:sz="0" w:space="0" w:color="auto"/>
            <w:bottom w:val="none" w:sz="0" w:space="0" w:color="auto"/>
            <w:right w:val="none" w:sz="0" w:space="0" w:color="auto"/>
          </w:divBdr>
        </w:div>
        <w:div w:id="1015614267">
          <w:marLeft w:val="1166"/>
          <w:marRight w:val="0"/>
          <w:marTop w:val="67"/>
          <w:marBottom w:val="0"/>
          <w:divBdr>
            <w:top w:val="none" w:sz="0" w:space="0" w:color="auto"/>
            <w:left w:val="none" w:sz="0" w:space="0" w:color="auto"/>
            <w:bottom w:val="none" w:sz="0" w:space="0" w:color="auto"/>
            <w:right w:val="none" w:sz="0" w:space="0" w:color="auto"/>
          </w:divBdr>
        </w:div>
        <w:div w:id="1233278084">
          <w:marLeft w:val="1166"/>
          <w:marRight w:val="0"/>
          <w:marTop w:val="67"/>
          <w:marBottom w:val="0"/>
          <w:divBdr>
            <w:top w:val="none" w:sz="0" w:space="0" w:color="auto"/>
            <w:left w:val="none" w:sz="0" w:space="0" w:color="auto"/>
            <w:bottom w:val="none" w:sz="0" w:space="0" w:color="auto"/>
            <w:right w:val="none" w:sz="0" w:space="0" w:color="auto"/>
          </w:divBdr>
        </w:div>
        <w:div w:id="1271746372">
          <w:marLeft w:val="547"/>
          <w:marRight w:val="0"/>
          <w:marTop w:val="86"/>
          <w:marBottom w:val="0"/>
          <w:divBdr>
            <w:top w:val="none" w:sz="0" w:space="0" w:color="auto"/>
            <w:left w:val="none" w:sz="0" w:space="0" w:color="auto"/>
            <w:bottom w:val="none" w:sz="0" w:space="0" w:color="auto"/>
            <w:right w:val="none" w:sz="0" w:space="0" w:color="auto"/>
          </w:divBdr>
        </w:div>
        <w:div w:id="1381637424">
          <w:marLeft w:val="1800"/>
          <w:marRight w:val="0"/>
          <w:marTop w:val="67"/>
          <w:marBottom w:val="0"/>
          <w:divBdr>
            <w:top w:val="none" w:sz="0" w:space="0" w:color="auto"/>
            <w:left w:val="none" w:sz="0" w:space="0" w:color="auto"/>
            <w:bottom w:val="none" w:sz="0" w:space="0" w:color="auto"/>
            <w:right w:val="none" w:sz="0" w:space="0" w:color="auto"/>
          </w:divBdr>
        </w:div>
        <w:div w:id="1419328341">
          <w:marLeft w:val="547"/>
          <w:marRight w:val="0"/>
          <w:marTop w:val="86"/>
          <w:marBottom w:val="0"/>
          <w:divBdr>
            <w:top w:val="none" w:sz="0" w:space="0" w:color="auto"/>
            <w:left w:val="none" w:sz="0" w:space="0" w:color="auto"/>
            <w:bottom w:val="none" w:sz="0" w:space="0" w:color="auto"/>
            <w:right w:val="none" w:sz="0" w:space="0" w:color="auto"/>
          </w:divBdr>
        </w:div>
        <w:div w:id="1515150784">
          <w:marLeft w:val="547"/>
          <w:marRight w:val="0"/>
          <w:marTop w:val="86"/>
          <w:marBottom w:val="0"/>
          <w:divBdr>
            <w:top w:val="none" w:sz="0" w:space="0" w:color="auto"/>
            <w:left w:val="none" w:sz="0" w:space="0" w:color="auto"/>
            <w:bottom w:val="none" w:sz="0" w:space="0" w:color="auto"/>
            <w:right w:val="none" w:sz="0" w:space="0" w:color="auto"/>
          </w:divBdr>
        </w:div>
        <w:div w:id="1612013825">
          <w:marLeft w:val="1800"/>
          <w:marRight w:val="0"/>
          <w:marTop w:val="67"/>
          <w:marBottom w:val="0"/>
          <w:divBdr>
            <w:top w:val="none" w:sz="0" w:space="0" w:color="auto"/>
            <w:left w:val="none" w:sz="0" w:space="0" w:color="auto"/>
            <w:bottom w:val="none" w:sz="0" w:space="0" w:color="auto"/>
            <w:right w:val="none" w:sz="0" w:space="0" w:color="auto"/>
          </w:divBdr>
        </w:div>
        <w:div w:id="1700427295">
          <w:marLeft w:val="1166"/>
          <w:marRight w:val="0"/>
          <w:marTop w:val="67"/>
          <w:marBottom w:val="0"/>
          <w:divBdr>
            <w:top w:val="none" w:sz="0" w:space="0" w:color="auto"/>
            <w:left w:val="none" w:sz="0" w:space="0" w:color="auto"/>
            <w:bottom w:val="none" w:sz="0" w:space="0" w:color="auto"/>
            <w:right w:val="none" w:sz="0" w:space="0" w:color="auto"/>
          </w:divBdr>
        </w:div>
        <w:div w:id="1705907020">
          <w:marLeft w:val="1166"/>
          <w:marRight w:val="0"/>
          <w:marTop w:val="67"/>
          <w:marBottom w:val="0"/>
          <w:divBdr>
            <w:top w:val="none" w:sz="0" w:space="0" w:color="auto"/>
            <w:left w:val="none" w:sz="0" w:space="0" w:color="auto"/>
            <w:bottom w:val="none" w:sz="0" w:space="0" w:color="auto"/>
            <w:right w:val="none" w:sz="0" w:space="0" w:color="auto"/>
          </w:divBdr>
        </w:div>
        <w:div w:id="1898664410">
          <w:marLeft w:val="1800"/>
          <w:marRight w:val="0"/>
          <w:marTop w:val="67"/>
          <w:marBottom w:val="0"/>
          <w:divBdr>
            <w:top w:val="none" w:sz="0" w:space="0" w:color="auto"/>
            <w:left w:val="none" w:sz="0" w:space="0" w:color="auto"/>
            <w:bottom w:val="none" w:sz="0" w:space="0" w:color="auto"/>
            <w:right w:val="none" w:sz="0" w:space="0" w:color="auto"/>
          </w:divBdr>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034135">
      <w:bodyDiv w:val="1"/>
      <w:marLeft w:val="0"/>
      <w:marRight w:val="0"/>
      <w:marTop w:val="0"/>
      <w:marBottom w:val="0"/>
      <w:divBdr>
        <w:top w:val="none" w:sz="0" w:space="0" w:color="auto"/>
        <w:left w:val="none" w:sz="0" w:space="0" w:color="auto"/>
        <w:bottom w:val="none" w:sz="0" w:space="0" w:color="auto"/>
        <w:right w:val="none" w:sz="0" w:space="0" w:color="auto"/>
      </w:divBdr>
    </w:div>
    <w:div w:id="2108035602">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976314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112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18A56-7626-4CA5-B9C3-7448B7A58648}">
  <ds:schemaRefs>
    <ds:schemaRef ds:uri="http://schemas.openxmlformats.org/officeDocument/2006/bibliography"/>
  </ds:schemaRefs>
</ds:datastoreItem>
</file>

<file path=customXml/itemProps2.xml><?xml version="1.0" encoding="utf-8"?>
<ds:datastoreItem xmlns:ds="http://schemas.openxmlformats.org/officeDocument/2006/customXml" ds:itemID="{BA61FF97-EE89-43F5-9A36-058A6B6D6B53}">
  <ds:schemaRefs>
    <ds:schemaRef ds:uri="http://schemas.microsoft.com/sharepoint/v3/contenttype/forms"/>
  </ds:schemaRefs>
</ds:datastoreItem>
</file>

<file path=customXml/itemProps3.xml><?xml version="1.0" encoding="utf-8"?>
<ds:datastoreItem xmlns:ds="http://schemas.openxmlformats.org/officeDocument/2006/customXml" ds:itemID="{2DA3BCED-BFB4-4D62-8EC7-273444442C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2106F4-CB10-44AD-AD99-9E16D00528B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CB87B74-725D-42EA-9193-B6894A9F9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1627</Words>
  <Characters>9279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Chervyakov, Andrey</cp:lastModifiedBy>
  <cp:revision>10</cp:revision>
  <cp:lastPrinted>2019-02-05T12:08:00Z</cp:lastPrinted>
  <dcterms:created xsi:type="dcterms:W3CDTF">2023-02-17T16:01:00Z</dcterms:created>
  <dcterms:modified xsi:type="dcterms:W3CDTF">2023-02-17T19:13:00Z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81bf5384-8edf-4f3d-8379-4f6e1f81e22e</vt:lpwstr>
  </property>
  <property fmtid="{D5CDD505-2E9C-101B-9397-08002B2CF9AE}" pid="6" name="CTP_TimeStamp">
    <vt:lpwstr>2019-02-15 11:15:58Z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